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Pr="00CE69D5" w:rsidRDefault="00DD2061" w:rsidP="00712D08">
      <w:pPr>
        <w:spacing w:line="259" w:lineRule="auto"/>
        <w:ind w:right="-32"/>
        <w:jc w:val="center"/>
        <w:rPr>
          <w:rFonts w:ascii="Calibri" w:eastAsia="Calibri" w:hAnsi="Calibri" w:cs="Calibri"/>
          <w:b/>
          <w:color w:val="000000"/>
          <w:sz w:val="18"/>
          <w:szCs w:val="18"/>
          <w:u w:val="single"/>
        </w:rPr>
      </w:pPr>
      <w:r w:rsidRPr="00CE69D5">
        <w:rPr>
          <w:rFonts w:ascii="Calibri" w:eastAsia="Calibri" w:hAnsi="Calibri" w:cs="Calibri"/>
          <w:b/>
          <w:color w:val="000000"/>
          <w:sz w:val="18"/>
          <w:szCs w:val="18"/>
          <w:u w:val="single"/>
        </w:rPr>
        <w:t xml:space="preserve">Příloha </w:t>
      </w:r>
      <w:r w:rsidR="0020420C">
        <w:rPr>
          <w:rFonts w:ascii="Calibri" w:eastAsia="Calibri" w:hAnsi="Calibri" w:cs="Calibri"/>
          <w:b/>
          <w:color w:val="000000"/>
          <w:sz w:val="18"/>
          <w:szCs w:val="18"/>
          <w:u w:val="single"/>
        </w:rPr>
        <w:t>7</w:t>
      </w:r>
    </w:p>
    <w:p w:rsidR="004A5C26" w:rsidRDefault="00CE69D5" w:rsidP="00CE69D5">
      <w:pPr>
        <w:jc w:val="center"/>
        <w:rPr>
          <w:sz w:val="20"/>
          <w:szCs w:val="20"/>
        </w:rPr>
      </w:pPr>
      <w:r w:rsidRPr="00CE69D5">
        <w:rPr>
          <w:rFonts w:ascii="Calibri" w:eastAsia="Calibri" w:hAnsi="Calibri" w:cs="Calibri"/>
          <w:b/>
          <w:color w:val="000000"/>
          <w:sz w:val="18"/>
          <w:szCs w:val="18"/>
        </w:rPr>
        <w:t xml:space="preserve">Všeobecné nákupní podmínky společnosti E.ON </w:t>
      </w:r>
      <w:proofErr w:type="gramStart"/>
      <w:r w:rsidRPr="00CE69D5">
        <w:rPr>
          <w:rFonts w:ascii="Calibri" w:eastAsia="Calibri" w:hAnsi="Calibri" w:cs="Calibri"/>
          <w:b/>
          <w:color w:val="000000"/>
          <w:sz w:val="18"/>
          <w:szCs w:val="18"/>
        </w:rPr>
        <w:t>Czech</w:t>
      </w:r>
      <w:r w:rsidR="004F729E">
        <w:rPr>
          <w:rFonts w:ascii="Calibri" w:eastAsia="Calibri" w:hAnsi="Calibri" w:cs="Calibri"/>
          <w:b/>
          <w:color w:val="000000"/>
          <w:sz w:val="18"/>
          <w:szCs w:val="18"/>
        </w:rPr>
        <w:t xml:space="preserve"> - </w:t>
      </w:r>
      <w:r w:rsidR="004F729E">
        <w:rPr>
          <w:rFonts w:ascii="Calibri" w:eastAsia="Calibri" w:hAnsi="Calibri" w:cs="Calibri"/>
          <w:b/>
          <w:bCs/>
          <w:sz w:val="18"/>
          <w:szCs w:val="18"/>
        </w:rPr>
        <w:t>Verze</w:t>
      </w:r>
      <w:proofErr w:type="gramEnd"/>
      <w:r w:rsidR="004F729E">
        <w:rPr>
          <w:rFonts w:ascii="Calibri" w:eastAsia="Calibri" w:hAnsi="Calibri" w:cs="Calibri"/>
          <w:b/>
          <w:bCs/>
          <w:sz w:val="18"/>
          <w:szCs w:val="18"/>
        </w:rPr>
        <w:t>: leden 2020</w:t>
      </w:r>
    </w:p>
    <w:p w:rsidR="004A5C26" w:rsidRDefault="004A5C26">
      <w:pPr>
        <w:spacing w:line="200" w:lineRule="exact"/>
        <w:rPr>
          <w:sz w:val="24"/>
          <w:szCs w:val="24"/>
        </w:rPr>
      </w:pPr>
    </w:p>
    <w:p w:rsidR="004F729E" w:rsidRDefault="004F729E" w:rsidP="004F729E">
      <w:pPr>
        <w:spacing w:line="270" w:lineRule="exact"/>
        <w:rPr>
          <w:sz w:val="24"/>
          <w:szCs w:val="24"/>
        </w:rPr>
      </w:pPr>
    </w:p>
    <w:p w:rsidR="004F729E" w:rsidRDefault="004F729E" w:rsidP="004F729E">
      <w:pPr>
        <w:numPr>
          <w:ilvl w:val="0"/>
          <w:numId w:val="1"/>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Oblast působnosti, Smluvní strany a předmět smlouvy, Pořadí priorit</w:t>
      </w:r>
    </w:p>
    <w:p w:rsidR="004F729E" w:rsidRDefault="004F729E" w:rsidP="004F729E">
      <w:pPr>
        <w:spacing w:line="366" w:lineRule="exact"/>
        <w:rPr>
          <w:sz w:val="24"/>
          <w:szCs w:val="24"/>
        </w:rPr>
      </w:pPr>
    </w:p>
    <w:p w:rsidR="004F729E" w:rsidRDefault="004F729E" w:rsidP="004F729E">
      <w:pPr>
        <w:tabs>
          <w:tab w:val="left" w:pos="774"/>
        </w:tabs>
        <w:spacing w:line="241" w:lineRule="auto"/>
        <w:ind w:left="794" w:hanging="433"/>
        <w:jc w:val="both"/>
        <w:rPr>
          <w:sz w:val="20"/>
          <w:szCs w:val="20"/>
        </w:rPr>
      </w:pPr>
      <w:r>
        <w:rPr>
          <w:rFonts w:ascii="Calibri" w:eastAsia="Calibri" w:hAnsi="Calibri" w:cs="Calibri"/>
          <w:sz w:val="18"/>
          <w:szCs w:val="18"/>
        </w:rPr>
        <w:t>1.1</w:t>
      </w:r>
      <w:r>
        <w:rPr>
          <w:sz w:val="20"/>
          <w:szCs w:val="20"/>
        </w:rPr>
        <w:tab/>
      </w:r>
      <w:r>
        <w:rPr>
          <w:rFonts w:ascii="Calibri" w:eastAsia="Calibri" w:hAnsi="Calibri" w:cs="Calibri"/>
          <w:sz w:val="18"/>
          <w:szCs w:val="18"/>
        </w:rPr>
        <w:t xml:space="preserve">Tyto všeobecné nákupní podmínky (dále též </w:t>
      </w:r>
      <w:r>
        <w:rPr>
          <w:rFonts w:ascii="Calibri" w:eastAsia="Calibri" w:hAnsi="Calibri" w:cs="Calibri"/>
          <w:b/>
          <w:bCs/>
          <w:sz w:val="18"/>
          <w:szCs w:val="18"/>
        </w:rPr>
        <w:t>„VNP“</w:t>
      </w:r>
      <w:r>
        <w:rPr>
          <w:rFonts w:ascii="Calibri" w:eastAsia="Calibri" w:hAnsi="Calibri" w:cs="Calibr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rFonts w:ascii="Calibri" w:eastAsia="Calibri" w:hAnsi="Calibri" w:cs="Calibri"/>
          <w:b/>
          <w:bCs/>
          <w:sz w:val="18"/>
          <w:szCs w:val="18"/>
        </w:rPr>
        <w:t>„Objednatel, Odběratel či společnost E.ON“</w:t>
      </w:r>
      <w:r>
        <w:rPr>
          <w:rFonts w:ascii="Calibri" w:eastAsia="Calibri" w:hAnsi="Calibri" w:cs="Calibri"/>
          <w:sz w:val="18"/>
          <w:szCs w:val="18"/>
        </w:rPr>
        <w:t>) na straně jedné</w:t>
      </w:r>
      <w:r>
        <w:rPr>
          <w:rFonts w:ascii="Calibri" w:eastAsia="Calibri" w:hAnsi="Calibri" w:cs="Calibri"/>
          <w:b/>
          <w:bCs/>
          <w:sz w:val="18"/>
          <w:szCs w:val="18"/>
        </w:rPr>
        <w:t xml:space="preserve"> </w:t>
      </w:r>
      <w:r>
        <w:rPr>
          <w:rFonts w:ascii="Calibri" w:eastAsia="Calibri" w:hAnsi="Calibri" w:cs="Calibri"/>
          <w:sz w:val="18"/>
          <w:szCs w:val="18"/>
        </w:rPr>
        <w:t>a zhotovitelem,</w:t>
      </w:r>
      <w:r>
        <w:rPr>
          <w:rFonts w:ascii="Calibri" w:eastAsia="Calibri" w:hAnsi="Calibri" w:cs="Calibri"/>
          <w:b/>
          <w:bCs/>
          <w:sz w:val="18"/>
          <w:szCs w:val="18"/>
        </w:rPr>
        <w:t xml:space="preserve"> </w:t>
      </w:r>
      <w:r>
        <w:rPr>
          <w:rFonts w:ascii="Calibri" w:eastAsia="Calibri" w:hAnsi="Calibri" w:cs="Calibri"/>
          <w:sz w:val="18"/>
          <w:szCs w:val="18"/>
        </w:rPr>
        <w:t>poskytovatelem či dodavatelem nebo</w:t>
      </w:r>
      <w:r>
        <w:rPr>
          <w:rFonts w:ascii="Calibri" w:eastAsia="Calibri" w:hAnsi="Calibri" w:cs="Calibri"/>
          <w:b/>
          <w:bCs/>
          <w:sz w:val="18"/>
          <w:szCs w:val="18"/>
        </w:rPr>
        <w:t xml:space="preserve"> </w:t>
      </w:r>
      <w:r>
        <w:rPr>
          <w:rFonts w:ascii="Calibri" w:eastAsia="Calibri" w:hAnsi="Calibri" w:cs="Calibri"/>
          <w:sz w:val="18"/>
          <w:szCs w:val="18"/>
        </w:rPr>
        <w:t xml:space="preserve">prodávajícím (dále jen </w:t>
      </w:r>
      <w:r>
        <w:rPr>
          <w:rFonts w:ascii="Calibri" w:eastAsia="Calibri" w:hAnsi="Calibri" w:cs="Calibri"/>
          <w:b/>
          <w:bCs/>
          <w:sz w:val="18"/>
          <w:szCs w:val="18"/>
        </w:rPr>
        <w:t>„Poskytovatel</w:t>
      </w:r>
      <w:r>
        <w:rPr>
          <w:rFonts w:ascii="Calibri" w:eastAsia="Calibri" w:hAnsi="Calibri" w:cs="Calibri"/>
          <w:sz w:val="18"/>
          <w:szCs w:val="18"/>
        </w:rPr>
        <w:t xml:space="preserve"> </w:t>
      </w:r>
      <w:r>
        <w:rPr>
          <w:rFonts w:ascii="Calibri" w:eastAsia="Calibri" w:hAnsi="Calibri" w:cs="Calibri"/>
          <w:b/>
          <w:bCs/>
          <w:sz w:val="18"/>
          <w:szCs w:val="18"/>
        </w:rPr>
        <w:t>či</w:t>
      </w:r>
      <w:r>
        <w:rPr>
          <w:rFonts w:ascii="Calibri" w:eastAsia="Calibri" w:hAnsi="Calibri" w:cs="Calibri"/>
          <w:sz w:val="18"/>
          <w:szCs w:val="18"/>
        </w:rPr>
        <w:t xml:space="preserve"> </w:t>
      </w:r>
      <w:r>
        <w:rPr>
          <w:rFonts w:ascii="Calibri" w:eastAsia="Calibri" w:hAnsi="Calibri" w:cs="Calibri"/>
          <w:b/>
          <w:bCs/>
          <w:sz w:val="18"/>
          <w:szCs w:val="18"/>
        </w:rPr>
        <w:t>Dodavatel“</w:t>
      </w:r>
      <w:r>
        <w:rPr>
          <w:rFonts w:ascii="Calibri" w:eastAsia="Calibri" w:hAnsi="Calibri" w:cs="Calibri"/>
          <w:sz w:val="18"/>
          <w:szCs w:val="18"/>
        </w:rPr>
        <w:t>) na straně druhé vznikající mezi těmito subjekty při a v souvislosti s uzavřením kupní smlouvy, smlouvy o dílo, smlouvy o poskytování služeb či smluv těmto smlouvám obdobným (dále jen „</w:t>
      </w:r>
      <w:r>
        <w:rPr>
          <w:rFonts w:ascii="Calibri" w:eastAsia="Calibri" w:hAnsi="Calibri" w:cs="Calibri"/>
          <w:b/>
          <w:bCs/>
          <w:sz w:val="18"/>
          <w:szCs w:val="18"/>
        </w:rPr>
        <w:t>Smlouva“</w:t>
      </w:r>
      <w:r>
        <w:rPr>
          <w:rFonts w:ascii="Calibri" w:eastAsia="Calibri" w:hAnsi="Calibri" w:cs="Calibri"/>
          <w:sz w:val="18"/>
          <w:szCs w:val="18"/>
        </w:rPr>
        <w:t>). Tyto VNP se vztahují na všechny nákupy/objednávky mezi společností ve skupině E.ON Czech, která je Objednatelem těchto nákupů/zadavatelem těchto objednávek a Dodavatelem.</w:t>
      </w:r>
    </w:p>
    <w:p w:rsidR="004F729E" w:rsidRDefault="004F729E" w:rsidP="004F729E">
      <w:pPr>
        <w:spacing w:line="131" w:lineRule="exact"/>
        <w:rPr>
          <w:sz w:val="24"/>
          <w:szCs w:val="24"/>
        </w:rPr>
      </w:pPr>
    </w:p>
    <w:p w:rsidR="004F729E" w:rsidRDefault="004F729E" w:rsidP="004F729E">
      <w:pPr>
        <w:tabs>
          <w:tab w:val="left" w:pos="774"/>
        </w:tabs>
        <w:spacing w:line="239" w:lineRule="auto"/>
        <w:ind w:left="794" w:hanging="438"/>
        <w:jc w:val="both"/>
        <w:rPr>
          <w:sz w:val="20"/>
          <w:szCs w:val="20"/>
        </w:rPr>
      </w:pPr>
      <w:r>
        <w:rPr>
          <w:rFonts w:ascii="Calibri" w:eastAsia="Calibri" w:hAnsi="Calibri" w:cs="Calibri"/>
          <w:sz w:val="18"/>
          <w:szCs w:val="18"/>
        </w:rPr>
        <w:t>1.2.</w:t>
      </w:r>
      <w:r>
        <w:rPr>
          <w:sz w:val="20"/>
          <w:szCs w:val="20"/>
        </w:rPr>
        <w:tab/>
      </w:r>
      <w:r>
        <w:rPr>
          <w:rFonts w:ascii="Calibri" w:eastAsia="Calibri" w:hAnsi="Calibri" w:cs="Calibri"/>
          <w:sz w:val="18"/>
          <w:szCs w:val="18"/>
        </w:rPr>
        <w:t>Název „</w:t>
      </w:r>
      <w:r>
        <w:rPr>
          <w:rFonts w:ascii="Calibri" w:eastAsia="Calibri" w:hAnsi="Calibri" w:cs="Calibri"/>
          <w:b/>
          <w:bCs/>
          <w:sz w:val="18"/>
          <w:szCs w:val="18"/>
        </w:rPr>
        <w:t>E.ON</w:t>
      </w:r>
      <w:r>
        <w:rPr>
          <w:rFonts w:ascii="Calibri" w:eastAsia="Calibri" w:hAnsi="Calibri" w:cs="Calibri"/>
          <w:sz w:val="18"/>
          <w:szCs w:val="18"/>
        </w:rPr>
        <w:t xml:space="preserve">“ ve smyslu těchto VNP označuje společnost E.ON Distribuce, a.s., se sídlem na adrese F. A. </w:t>
      </w:r>
      <w:proofErr w:type="spellStart"/>
      <w:r>
        <w:rPr>
          <w:rFonts w:ascii="Calibri" w:eastAsia="Calibri" w:hAnsi="Calibri" w:cs="Calibri"/>
          <w:sz w:val="18"/>
          <w:szCs w:val="18"/>
        </w:rPr>
        <w:t>Gerstnera</w:t>
      </w:r>
      <w:proofErr w:type="spellEnd"/>
      <w:r>
        <w:rPr>
          <w:rFonts w:ascii="Calibri" w:eastAsia="Calibri" w:hAnsi="Calibri" w:cs="Calibri"/>
          <w:sz w:val="18"/>
          <w:szCs w:val="18"/>
        </w:rPr>
        <w:t xml:space="preserve"> 2151/6, České Budějovice 7, 370 01 České Budějovice a všechny společnosti, které jsou přímo nebo nepřímo se společností E.ON propojeny (tato skupina společností dále jen „</w:t>
      </w:r>
      <w:r>
        <w:rPr>
          <w:rFonts w:ascii="Calibri" w:eastAsia="Calibri" w:hAnsi="Calibri" w:cs="Calibri"/>
          <w:b/>
          <w:bCs/>
          <w:sz w:val="18"/>
          <w:szCs w:val="18"/>
        </w:rPr>
        <w:t>skupina E. ON</w:t>
      </w:r>
      <w:r>
        <w:rPr>
          <w:rFonts w:ascii="Calibri" w:eastAsia="Calibri" w:hAnsi="Calibri" w:cs="Calibr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F729E" w:rsidRDefault="004F729E" w:rsidP="004F729E">
      <w:pPr>
        <w:spacing w:line="139" w:lineRule="exact"/>
        <w:rPr>
          <w:sz w:val="24"/>
          <w:szCs w:val="24"/>
        </w:rPr>
      </w:pPr>
    </w:p>
    <w:p w:rsidR="004F729E" w:rsidRPr="001A011B" w:rsidRDefault="004F729E" w:rsidP="004F729E">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1.3.   Obsah Smlouvy tvoří jednotlivá ustanovení Smlouvy nebo </w:t>
      </w:r>
      <w:proofErr w:type="gramStart"/>
      <w:r w:rsidRPr="001A011B">
        <w:rPr>
          <w:rFonts w:ascii="Calibri" w:eastAsia="Calibri" w:hAnsi="Calibri" w:cs="Calibri"/>
          <w:sz w:val="18"/>
          <w:szCs w:val="18"/>
          <w:lang w:val="cs-CZ" w:eastAsia="cs-CZ"/>
        </w:rPr>
        <w:t>příslušné  objednávky</w:t>
      </w:r>
      <w:proofErr w:type="gramEnd"/>
      <w:r w:rsidRPr="001A011B">
        <w:rPr>
          <w:rFonts w:ascii="Calibri" w:eastAsia="Calibri" w:hAnsi="Calibri" w:cs="Calibri"/>
          <w:sz w:val="18"/>
          <w:szCs w:val="18"/>
          <w:lang w:val="cs-CZ" w:eastAsia="cs-CZ"/>
        </w:rPr>
        <w:t xml:space="preserve">, další smluvní podmínky stanovené ve Smlouvě nebo objednávce, tyto </w:t>
      </w:r>
      <w:r>
        <w:rPr>
          <w:rFonts w:ascii="Calibri" w:eastAsia="Calibri" w:hAnsi="Calibri" w:cs="Calibri"/>
          <w:sz w:val="18"/>
          <w:szCs w:val="18"/>
          <w:lang w:val="cs-CZ" w:eastAsia="cs-CZ"/>
        </w:rPr>
        <w:t>VNP</w:t>
      </w:r>
      <w:r w:rsidRPr="001A011B">
        <w:rPr>
          <w:rFonts w:ascii="Calibri" w:eastAsia="Calibri" w:hAnsi="Calibri" w:cs="Calibri"/>
          <w:sz w:val="18"/>
          <w:szCs w:val="18"/>
          <w:lang w:val="cs-CZ" w:eastAsia="cs-CZ"/>
        </w:rPr>
        <w:t xml:space="preserve"> a příslušné Doplňkové všeobecné podmínky. Jednotlivé části Smlouvy se použijí v následujícím sestupném pořadí:                           </w:t>
      </w:r>
    </w:p>
    <w:p w:rsidR="004F729E" w:rsidRPr="001A011B" w:rsidRDefault="004F729E" w:rsidP="004F729E">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4F729E" w:rsidRPr="001A011B" w:rsidRDefault="004F729E" w:rsidP="004F729E">
      <w:pPr>
        <w:pStyle w:val="-wm-msonormal"/>
        <w:spacing w:before="0" w:beforeAutospacing="0" w:after="0" w:afterAutospacing="0" w:line="216" w:lineRule="auto"/>
        <w:ind w:right="20"/>
        <w:rPr>
          <w:rFonts w:ascii="Calibri" w:eastAsia="Calibri" w:hAnsi="Calibri" w:cs="Calibri"/>
          <w:sz w:val="18"/>
          <w:szCs w:val="18"/>
          <w:lang w:val="cs-CZ" w:eastAsia="cs-CZ"/>
        </w:rPr>
      </w:pP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1.3.2. další podmínky smlouvy, stanovené ve smlouvě nebo objednávce,</w:t>
      </w:r>
    </w:p>
    <w:p w:rsidR="004F729E" w:rsidRPr="001A011B" w:rsidRDefault="004F729E" w:rsidP="004F729E">
      <w:pPr>
        <w:pStyle w:val="-wm-msonormal"/>
        <w:spacing w:line="92" w:lineRule="exact"/>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w:t>
      </w: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 xml:space="preserve"> 1.3.3. tyto Všeobecné podmínky</w:t>
      </w:r>
    </w:p>
    <w:p w:rsidR="004F729E" w:rsidRDefault="004F729E" w:rsidP="004F729E">
      <w:pPr>
        <w:spacing w:line="133" w:lineRule="exact"/>
        <w:rPr>
          <w:sz w:val="24"/>
          <w:szCs w:val="24"/>
        </w:rPr>
      </w:pPr>
    </w:p>
    <w:p w:rsidR="004F729E" w:rsidRDefault="004F729E" w:rsidP="004F729E">
      <w:pPr>
        <w:tabs>
          <w:tab w:val="left" w:pos="794"/>
        </w:tabs>
        <w:spacing w:line="235" w:lineRule="auto"/>
        <w:ind w:left="814" w:hanging="438"/>
        <w:jc w:val="both"/>
        <w:rPr>
          <w:sz w:val="20"/>
          <w:szCs w:val="20"/>
        </w:rPr>
      </w:pPr>
      <w:r>
        <w:rPr>
          <w:rFonts w:ascii="Calibri" w:eastAsia="Calibri" w:hAnsi="Calibri" w:cs="Calibri"/>
          <w:sz w:val="18"/>
          <w:szCs w:val="18"/>
        </w:rPr>
        <w:t>1.4.</w:t>
      </w:r>
      <w:r>
        <w:rPr>
          <w:rFonts w:ascii="Calibri" w:eastAsia="Calibri" w:hAnsi="Calibri" w:cs="Calibr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Default="004F729E" w:rsidP="004F729E">
      <w:pPr>
        <w:spacing w:line="133" w:lineRule="exact"/>
        <w:rPr>
          <w:sz w:val="24"/>
          <w:szCs w:val="24"/>
        </w:rPr>
      </w:pPr>
    </w:p>
    <w:p w:rsidR="004F729E" w:rsidRDefault="004F729E" w:rsidP="004F729E">
      <w:pPr>
        <w:tabs>
          <w:tab w:val="left" w:pos="794"/>
        </w:tabs>
        <w:spacing w:line="222" w:lineRule="auto"/>
        <w:ind w:left="814" w:hanging="438"/>
        <w:jc w:val="both"/>
        <w:rPr>
          <w:sz w:val="20"/>
          <w:szCs w:val="20"/>
        </w:rPr>
      </w:pPr>
      <w:r>
        <w:rPr>
          <w:rFonts w:ascii="Calibri" w:eastAsia="Calibri" w:hAnsi="Calibri" w:cs="Calibri"/>
          <w:sz w:val="18"/>
          <w:szCs w:val="18"/>
        </w:rPr>
        <w:t>1.5.</w:t>
      </w:r>
      <w:r>
        <w:rPr>
          <w:rFonts w:ascii="Calibri" w:eastAsia="Calibri" w:hAnsi="Calibri" w:cs="Calibri"/>
          <w:sz w:val="18"/>
          <w:szCs w:val="18"/>
        </w:rPr>
        <w:tab/>
        <w:t>Tyto VNP, stejně jako jiné obchodní podmínky odběratele, na které se smlouva ve smyslu § 1751 zák. č. 89/2012 Sb. odkazuje (společně dále jen „obchodní podmínky“), Objednatel zveřejňuje na internetové adrese:</w:t>
      </w:r>
    </w:p>
    <w:p w:rsidR="004F729E" w:rsidRDefault="004F729E" w:rsidP="004F729E">
      <w:pPr>
        <w:spacing w:line="93" w:lineRule="exact"/>
        <w:rPr>
          <w:sz w:val="24"/>
          <w:szCs w:val="24"/>
        </w:rPr>
      </w:pPr>
    </w:p>
    <w:p w:rsidR="004F729E" w:rsidRDefault="004F729E" w:rsidP="004F729E">
      <w:pPr>
        <w:ind w:left="814"/>
        <w:rPr>
          <w:sz w:val="20"/>
          <w:szCs w:val="20"/>
        </w:rPr>
      </w:pPr>
      <w:r>
        <w:rPr>
          <w:rFonts w:ascii="Calibri" w:eastAsia="Calibri" w:hAnsi="Calibri" w:cs="Calibri"/>
          <w:sz w:val="18"/>
          <w:szCs w:val="18"/>
          <w:u w:val="single"/>
        </w:rPr>
        <w:t>http://www.eon.cz/o-nas/o-skupine-eon/pro-partnery/vseobecne-nakupni-podminky</w:t>
      </w:r>
    </w:p>
    <w:p w:rsidR="004F729E" w:rsidRDefault="004F729E" w:rsidP="004F729E">
      <w:pPr>
        <w:spacing w:line="133" w:lineRule="exact"/>
        <w:rPr>
          <w:sz w:val="24"/>
          <w:szCs w:val="24"/>
        </w:rPr>
      </w:pPr>
    </w:p>
    <w:p w:rsidR="004F729E" w:rsidRDefault="004F729E" w:rsidP="004F729E">
      <w:pPr>
        <w:spacing w:line="241" w:lineRule="auto"/>
        <w:ind w:left="814" w:hanging="13"/>
        <w:jc w:val="both"/>
        <w:rPr>
          <w:sz w:val="20"/>
          <w:szCs w:val="20"/>
        </w:rPr>
      </w:pPr>
      <w:r>
        <w:rPr>
          <w:rFonts w:ascii="Calibri" w:eastAsia="Calibri" w:hAnsi="Calibri" w:cs="Calibr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Pr>
          <w:rFonts w:ascii="Calibri" w:eastAsia="Calibri" w:hAnsi="Calibri" w:cs="Calibri"/>
          <w:sz w:val="18"/>
          <w:szCs w:val="18"/>
        </w:rPr>
        <w:t>14-ti</w:t>
      </w:r>
      <w:proofErr w:type="gramEnd"/>
      <w:r>
        <w:rPr>
          <w:rFonts w:ascii="Calibri" w:eastAsia="Calibri" w:hAnsi="Calibri" w:cs="Calibr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Default="004F729E" w:rsidP="004F729E">
      <w:pPr>
        <w:spacing w:line="136" w:lineRule="exact"/>
        <w:rPr>
          <w:sz w:val="24"/>
          <w:szCs w:val="24"/>
        </w:rPr>
      </w:pPr>
    </w:p>
    <w:p w:rsidR="004F729E" w:rsidRDefault="004F729E" w:rsidP="004F729E">
      <w:pPr>
        <w:tabs>
          <w:tab w:val="left" w:pos="774"/>
        </w:tabs>
        <w:spacing w:line="220" w:lineRule="auto"/>
        <w:ind w:left="794" w:right="20" w:hanging="438"/>
        <w:rPr>
          <w:sz w:val="20"/>
          <w:szCs w:val="20"/>
        </w:rPr>
      </w:pPr>
      <w:r>
        <w:rPr>
          <w:rFonts w:ascii="Calibri" w:eastAsia="Calibri" w:hAnsi="Calibri" w:cs="Calibri"/>
          <w:sz w:val="18"/>
          <w:szCs w:val="18"/>
        </w:rPr>
        <w:t>1.6.</w:t>
      </w:r>
      <w:r>
        <w:rPr>
          <w:rFonts w:ascii="Calibri" w:eastAsia="Calibri" w:hAnsi="Calibri" w:cs="Calibri"/>
          <w:sz w:val="18"/>
          <w:szCs w:val="18"/>
        </w:rPr>
        <w:tab/>
        <w:t>Tyto VNP se vztahují pouze na podnikatele ve smyslu § 420 zákona č. 89/2012 Sb., občanský zákoník, ve znění pozdějších předpisů (dále jen „občanský zákoník“) nebo právnické osoby podle veřejného práva.</w:t>
      </w:r>
    </w:p>
    <w:p w:rsidR="004F729E" w:rsidRDefault="004F729E" w:rsidP="004F729E">
      <w:pPr>
        <w:spacing w:line="366" w:lineRule="exact"/>
        <w:rPr>
          <w:sz w:val="24"/>
          <w:szCs w:val="24"/>
        </w:rPr>
      </w:pPr>
    </w:p>
    <w:p w:rsidR="004F729E" w:rsidRDefault="004F729E" w:rsidP="004F729E">
      <w:pPr>
        <w:numPr>
          <w:ilvl w:val="0"/>
          <w:numId w:val="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Objednávky a změny Smlouvy</w:t>
      </w:r>
    </w:p>
    <w:p w:rsidR="004F729E" w:rsidRDefault="004F729E" w:rsidP="004F729E">
      <w:pPr>
        <w:spacing w:line="90" w:lineRule="exact"/>
        <w:rPr>
          <w:sz w:val="24"/>
          <w:szCs w:val="24"/>
        </w:rPr>
      </w:pPr>
    </w:p>
    <w:p w:rsidR="004F729E" w:rsidRDefault="004F729E" w:rsidP="004F729E">
      <w:pPr>
        <w:tabs>
          <w:tab w:val="left" w:pos="774"/>
        </w:tabs>
        <w:ind w:left="354"/>
        <w:rPr>
          <w:sz w:val="20"/>
          <w:szCs w:val="20"/>
        </w:rPr>
      </w:pPr>
      <w:r>
        <w:rPr>
          <w:rFonts w:ascii="Calibri" w:eastAsia="Calibri" w:hAnsi="Calibri" w:cs="Calibri"/>
          <w:sz w:val="18"/>
          <w:szCs w:val="18"/>
        </w:rPr>
        <w:t>2.1.</w:t>
      </w:r>
      <w:r>
        <w:rPr>
          <w:sz w:val="20"/>
          <w:szCs w:val="20"/>
        </w:rPr>
        <w:tab/>
      </w:r>
      <w:r>
        <w:rPr>
          <w:rFonts w:ascii="Calibri" w:eastAsia="Calibri" w:hAnsi="Calibri" w:cs="Calibri"/>
          <w:sz w:val="18"/>
          <w:szCs w:val="18"/>
        </w:rPr>
        <w:t>Objednávky a Smlouvy musí mít písemnou formu. To platí i pro následné změny Smlouvy a doplnění objednávek.</w:t>
      </w:r>
    </w:p>
    <w:p w:rsidR="004F729E" w:rsidRDefault="004F729E" w:rsidP="004F729E">
      <w:pPr>
        <w:spacing w:line="133" w:lineRule="exact"/>
        <w:rPr>
          <w:sz w:val="24"/>
          <w:szCs w:val="24"/>
        </w:rPr>
      </w:pPr>
    </w:p>
    <w:p w:rsidR="004F729E" w:rsidRDefault="004F729E" w:rsidP="004F729E">
      <w:pPr>
        <w:tabs>
          <w:tab w:val="left" w:pos="774"/>
        </w:tabs>
        <w:spacing w:line="244" w:lineRule="auto"/>
        <w:ind w:left="794" w:right="20" w:hanging="438"/>
        <w:jc w:val="both"/>
        <w:rPr>
          <w:sz w:val="20"/>
          <w:szCs w:val="20"/>
        </w:rPr>
      </w:pPr>
      <w:r>
        <w:rPr>
          <w:rFonts w:ascii="Calibri" w:eastAsia="Calibri" w:hAnsi="Calibri" w:cs="Calibri"/>
          <w:sz w:val="18"/>
          <w:szCs w:val="18"/>
        </w:rPr>
        <w:t>2.2.</w:t>
      </w:r>
      <w:r>
        <w:rPr>
          <w:sz w:val="20"/>
          <w:szCs w:val="20"/>
        </w:rPr>
        <w:tab/>
      </w:r>
      <w:r>
        <w:rPr>
          <w:rFonts w:ascii="Calibri" w:eastAsia="Calibri" w:hAnsi="Calibri" w:cs="Calibr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F729E" w:rsidRDefault="004F729E" w:rsidP="004F729E">
      <w:pPr>
        <w:spacing w:line="133" w:lineRule="exact"/>
        <w:rPr>
          <w:sz w:val="24"/>
          <w:szCs w:val="24"/>
        </w:rPr>
      </w:pPr>
    </w:p>
    <w:p w:rsidR="004F729E" w:rsidRDefault="004F729E" w:rsidP="004F729E">
      <w:pPr>
        <w:tabs>
          <w:tab w:val="left" w:pos="794"/>
        </w:tabs>
        <w:spacing w:line="229" w:lineRule="auto"/>
        <w:ind w:left="814" w:right="20" w:hanging="438"/>
        <w:jc w:val="both"/>
        <w:rPr>
          <w:sz w:val="20"/>
          <w:szCs w:val="20"/>
        </w:rPr>
      </w:pPr>
      <w:r>
        <w:rPr>
          <w:rFonts w:ascii="Calibri" w:eastAsia="Calibri" w:hAnsi="Calibri" w:cs="Calibri"/>
          <w:sz w:val="18"/>
          <w:szCs w:val="18"/>
        </w:rPr>
        <w:lastRenderedPageBreak/>
        <w:t>2.3.</w:t>
      </w:r>
      <w:r>
        <w:rPr>
          <w:sz w:val="20"/>
          <w:szCs w:val="20"/>
        </w:rPr>
        <w:tab/>
      </w:r>
      <w:r>
        <w:rPr>
          <w:rFonts w:ascii="Calibri" w:eastAsia="Calibri" w:hAnsi="Calibri" w:cs="Calibr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F729E" w:rsidRDefault="004F729E" w:rsidP="004F729E">
      <w:pPr>
        <w:sectPr w:rsidR="004F729E">
          <w:headerReference w:type="default" r:id="rId7"/>
          <w:pgSz w:w="11900" w:h="16838"/>
          <w:pgMar w:top="717" w:right="1006" w:bottom="1054"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3"/>
        </w:numPr>
        <w:tabs>
          <w:tab w:val="left" w:pos="234"/>
        </w:tabs>
        <w:ind w:left="234" w:hanging="234"/>
        <w:rPr>
          <w:rFonts w:ascii="Calibri" w:eastAsia="Calibri" w:hAnsi="Calibri" w:cs="Calibri"/>
          <w:b/>
          <w:bCs/>
          <w:sz w:val="18"/>
          <w:szCs w:val="18"/>
        </w:rPr>
      </w:pPr>
      <w:r>
        <w:rPr>
          <w:rFonts w:ascii="Calibri" w:eastAsia="Calibri" w:hAnsi="Calibri" w:cs="Calibri"/>
          <w:b/>
          <w:bCs/>
          <w:sz w:val="18"/>
          <w:szCs w:val="18"/>
        </w:rPr>
        <w:t>Povaha předmětu plnění, Pracovníci</w:t>
      </w:r>
    </w:p>
    <w:p w:rsidR="004F729E" w:rsidRDefault="004F729E" w:rsidP="004F729E">
      <w:pPr>
        <w:spacing w:line="133"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3.1.</w:t>
      </w:r>
      <w:r>
        <w:rPr>
          <w:rFonts w:ascii="Calibri" w:eastAsia="Calibri" w:hAnsi="Calibri" w:cs="Calibr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Default="004F729E" w:rsidP="004F729E">
      <w:pPr>
        <w:spacing w:line="91" w:lineRule="exact"/>
        <w:rPr>
          <w:sz w:val="20"/>
          <w:szCs w:val="20"/>
        </w:rPr>
      </w:pPr>
    </w:p>
    <w:p w:rsidR="004F729E" w:rsidRDefault="004F729E" w:rsidP="004F729E">
      <w:pPr>
        <w:tabs>
          <w:tab w:val="left" w:pos="774"/>
        </w:tabs>
        <w:ind w:left="354"/>
        <w:rPr>
          <w:sz w:val="20"/>
          <w:szCs w:val="20"/>
        </w:rPr>
      </w:pPr>
      <w:r>
        <w:rPr>
          <w:rFonts w:ascii="Calibri" w:eastAsia="Calibri" w:hAnsi="Calibri" w:cs="Calibri"/>
          <w:sz w:val="18"/>
          <w:szCs w:val="18"/>
        </w:rPr>
        <w:t>3.2.</w:t>
      </w:r>
      <w:r>
        <w:rPr>
          <w:sz w:val="20"/>
          <w:szCs w:val="20"/>
        </w:rPr>
        <w:tab/>
      </w:r>
      <w:r>
        <w:rPr>
          <w:rFonts w:ascii="Calibri" w:eastAsia="Calibri" w:hAnsi="Calibri" w:cs="Calibri"/>
          <w:sz w:val="18"/>
          <w:szCs w:val="18"/>
        </w:rPr>
        <w:t>Dodavatel zajistí, aby předmět plnění byl vhodný pro účely vyplývající ze Smlouvy a použitelný v souladu s platnými zákony.</w:t>
      </w:r>
    </w:p>
    <w:p w:rsidR="004F729E" w:rsidRDefault="004F729E" w:rsidP="004F729E">
      <w:pPr>
        <w:spacing w:line="133" w:lineRule="exact"/>
        <w:rPr>
          <w:sz w:val="20"/>
          <w:szCs w:val="20"/>
        </w:rPr>
      </w:pPr>
    </w:p>
    <w:p w:rsidR="004F729E" w:rsidRDefault="004F729E" w:rsidP="004F729E">
      <w:pPr>
        <w:tabs>
          <w:tab w:val="left" w:pos="774"/>
        </w:tabs>
        <w:spacing w:line="230" w:lineRule="auto"/>
        <w:ind w:left="794" w:hanging="438"/>
        <w:jc w:val="both"/>
        <w:rPr>
          <w:sz w:val="20"/>
          <w:szCs w:val="20"/>
        </w:rPr>
      </w:pPr>
      <w:r>
        <w:rPr>
          <w:rFonts w:ascii="Calibri" w:eastAsia="Calibri" w:hAnsi="Calibri" w:cs="Calibri"/>
          <w:sz w:val="18"/>
          <w:szCs w:val="18"/>
        </w:rPr>
        <w:t>3.3.</w:t>
      </w:r>
      <w:r>
        <w:rPr>
          <w:sz w:val="20"/>
          <w:szCs w:val="20"/>
        </w:rPr>
        <w:tab/>
      </w:r>
      <w:r>
        <w:rPr>
          <w:rFonts w:ascii="Calibri" w:eastAsia="Calibri" w:hAnsi="Calibri" w:cs="Calibr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F729E" w:rsidRDefault="004F729E" w:rsidP="004F729E">
      <w:pPr>
        <w:spacing w:line="134" w:lineRule="exact"/>
        <w:rPr>
          <w:sz w:val="20"/>
          <w:szCs w:val="20"/>
        </w:rPr>
      </w:pPr>
    </w:p>
    <w:p w:rsidR="004F729E" w:rsidRDefault="004F729E" w:rsidP="004F729E">
      <w:pPr>
        <w:tabs>
          <w:tab w:val="left" w:pos="774"/>
        </w:tabs>
        <w:spacing w:line="219" w:lineRule="auto"/>
        <w:ind w:left="794" w:right="20" w:hanging="438"/>
        <w:jc w:val="both"/>
        <w:rPr>
          <w:sz w:val="20"/>
          <w:szCs w:val="20"/>
        </w:rPr>
      </w:pPr>
      <w:r>
        <w:rPr>
          <w:rFonts w:ascii="Calibri" w:eastAsia="Calibri" w:hAnsi="Calibri" w:cs="Calibri"/>
          <w:sz w:val="18"/>
          <w:szCs w:val="18"/>
        </w:rPr>
        <w:t>3.4.</w:t>
      </w:r>
      <w:r>
        <w:rPr>
          <w:sz w:val="20"/>
          <w:szCs w:val="20"/>
        </w:rPr>
        <w:tab/>
      </w:r>
      <w:r>
        <w:rPr>
          <w:rFonts w:ascii="Calibri" w:eastAsia="Calibri" w:hAnsi="Calibri" w:cs="Calibr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F729E" w:rsidRDefault="004F729E" w:rsidP="004F729E">
      <w:pPr>
        <w:spacing w:line="137" w:lineRule="exact"/>
        <w:rPr>
          <w:sz w:val="20"/>
          <w:szCs w:val="20"/>
        </w:rPr>
      </w:pPr>
    </w:p>
    <w:p w:rsidR="004F729E" w:rsidRDefault="004F729E" w:rsidP="004F729E">
      <w:pPr>
        <w:tabs>
          <w:tab w:val="left" w:pos="774"/>
        </w:tabs>
        <w:spacing w:line="238" w:lineRule="auto"/>
        <w:ind w:left="794" w:right="20" w:hanging="438"/>
        <w:jc w:val="both"/>
        <w:rPr>
          <w:sz w:val="20"/>
          <w:szCs w:val="20"/>
        </w:rPr>
      </w:pPr>
      <w:r>
        <w:rPr>
          <w:rFonts w:ascii="Calibri" w:eastAsia="Calibri" w:hAnsi="Calibri" w:cs="Calibri"/>
          <w:sz w:val="18"/>
          <w:szCs w:val="18"/>
        </w:rPr>
        <w:t>3.5.</w:t>
      </w:r>
      <w:r>
        <w:rPr>
          <w:sz w:val="20"/>
          <w:szCs w:val="20"/>
        </w:rPr>
        <w:tab/>
      </w:r>
      <w:r>
        <w:rPr>
          <w:rFonts w:ascii="Calibri" w:eastAsia="Calibri" w:hAnsi="Calibri" w:cs="Calibr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F729E" w:rsidRDefault="004F729E" w:rsidP="004F729E">
      <w:pPr>
        <w:spacing w:line="138" w:lineRule="exact"/>
        <w:rPr>
          <w:sz w:val="20"/>
          <w:szCs w:val="20"/>
        </w:rPr>
      </w:pPr>
    </w:p>
    <w:p w:rsidR="004F729E" w:rsidRDefault="004F729E" w:rsidP="004F729E">
      <w:pPr>
        <w:tabs>
          <w:tab w:val="left" w:pos="774"/>
        </w:tabs>
        <w:spacing w:line="229" w:lineRule="auto"/>
        <w:ind w:left="794" w:hanging="450"/>
        <w:jc w:val="both"/>
        <w:rPr>
          <w:sz w:val="20"/>
          <w:szCs w:val="20"/>
        </w:rPr>
      </w:pPr>
      <w:r>
        <w:rPr>
          <w:rFonts w:ascii="Calibri" w:eastAsia="Calibri" w:hAnsi="Calibri" w:cs="Calibri"/>
          <w:sz w:val="18"/>
          <w:szCs w:val="18"/>
        </w:rPr>
        <w:t>3.6.</w:t>
      </w:r>
      <w:r>
        <w:rPr>
          <w:sz w:val="20"/>
          <w:szCs w:val="20"/>
        </w:rPr>
        <w:tab/>
      </w:r>
      <w:r>
        <w:rPr>
          <w:rFonts w:ascii="Calibri" w:eastAsia="Calibri" w:hAnsi="Calibri" w:cs="Calibr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F729E" w:rsidRDefault="004F729E" w:rsidP="004F729E">
      <w:pPr>
        <w:spacing w:line="133" w:lineRule="exact"/>
        <w:rPr>
          <w:sz w:val="20"/>
          <w:szCs w:val="20"/>
        </w:rPr>
      </w:pPr>
    </w:p>
    <w:p w:rsidR="004F729E" w:rsidRDefault="004F729E" w:rsidP="004F729E">
      <w:pPr>
        <w:tabs>
          <w:tab w:val="left" w:pos="774"/>
        </w:tabs>
        <w:spacing w:line="231" w:lineRule="auto"/>
        <w:ind w:left="794" w:hanging="429"/>
        <w:jc w:val="both"/>
        <w:rPr>
          <w:sz w:val="20"/>
          <w:szCs w:val="20"/>
        </w:rPr>
      </w:pPr>
      <w:r>
        <w:rPr>
          <w:rFonts w:ascii="Calibri" w:eastAsia="Calibri" w:hAnsi="Calibri" w:cs="Calibri"/>
          <w:sz w:val="18"/>
          <w:szCs w:val="18"/>
        </w:rPr>
        <w:t>3.7.</w:t>
      </w:r>
      <w:r>
        <w:rPr>
          <w:sz w:val="20"/>
          <w:szCs w:val="20"/>
        </w:rPr>
        <w:tab/>
      </w:r>
      <w:r>
        <w:rPr>
          <w:rFonts w:ascii="Calibri" w:eastAsia="Calibri" w:hAnsi="Calibri" w:cs="Calibr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F729E" w:rsidRDefault="004F729E" w:rsidP="004F729E">
      <w:pPr>
        <w:spacing w:line="238" w:lineRule="auto"/>
        <w:ind w:left="794"/>
        <w:rPr>
          <w:sz w:val="20"/>
          <w:szCs w:val="20"/>
        </w:rPr>
      </w:pPr>
      <w:r>
        <w:rPr>
          <w:rFonts w:ascii="Calibri" w:eastAsia="Calibri" w:hAnsi="Calibri" w:cs="Calibri"/>
          <w:sz w:val="18"/>
          <w:szCs w:val="18"/>
        </w:rPr>
        <w:t>v produktivitě). V tomto ohledu důkazní břemeno nese Dodavatel.</w:t>
      </w:r>
    </w:p>
    <w:p w:rsidR="004F729E" w:rsidRDefault="004F729E" w:rsidP="004F729E">
      <w:pPr>
        <w:spacing w:line="134" w:lineRule="exact"/>
        <w:rPr>
          <w:sz w:val="20"/>
          <w:szCs w:val="20"/>
        </w:rPr>
      </w:pPr>
    </w:p>
    <w:p w:rsidR="004F729E" w:rsidRDefault="004F729E" w:rsidP="004F729E">
      <w:pPr>
        <w:tabs>
          <w:tab w:val="left" w:pos="774"/>
        </w:tabs>
        <w:spacing w:line="220" w:lineRule="auto"/>
        <w:ind w:left="794" w:hanging="438"/>
        <w:jc w:val="both"/>
        <w:rPr>
          <w:sz w:val="20"/>
          <w:szCs w:val="20"/>
        </w:rPr>
      </w:pPr>
      <w:r>
        <w:rPr>
          <w:rFonts w:ascii="Calibri" w:eastAsia="Calibri" w:hAnsi="Calibri" w:cs="Calibri"/>
          <w:sz w:val="18"/>
          <w:szCs w:val="18"/>
        </w:rPr>
        <w:t>3.8.</w:t>
      </w:r>
      <w:r>
        <w:rPr>
          <w:sz w:val="20"/>
          <w:szCs w:val="20"/>
        </w:rPr>
        <w:tab/>
      </w:r>
      <w:r>
        <w:rPr>
          <w:rFonts w:ascii="Calibri" w:eastAsia="Calibri" w:hAnsi="Calibri" w:cs="Calibri"/>
          <w:sz w:val="18"/>
          <w:szCs w:val="18"/>
        </w:rPr>
        <w:t>Pokud Dodavatel během doby trvání Smlouvy překlasifikuje kvalifikaci původně zapojených pracovníků do vyšší kvalifikační úrovně, povinnosti týkající se poskytnutí odměny tím nejsou dotčeny.</w:t>
      </w:r>
    </w:p>
    <w:p w:rsidR="004F729E" w:rsidRDefault="004F729E" w:rsidP="004F729E">
      <w:pPr>
        <w:spacing w:line="135" w:lineRule="exact"/>
        <w:rPr>
          <w:sz w:val="20"/>
          <w:szCs w:val="20"/>
        </w:rPr>
      </w:pPr>
    </w:p>
    <w:p w:rsidR="004F729E" w:rsidRDefault="004F729E" w:rsidP="004F729E">
      <w:pPr>
        <w:tabs>
          <w:tab w:val="left" w:pos="774"/>
        </w:tabs>
        <w:spacing w:line="230" w:lineRule="auto"/>
        <w:ind w:left="794" w:right="20" w:hanging="438"/>
        <w:jc w:val="both"/>
        <w:rPr>
          <w:sz w:val="20"/>
          <w:szCs w:val="20"/>
        </w:rPr>
      </w:pPr>
      <w:r>
        <w:rPr>
          <w:rFonts w:ascii="Calibri" w:eastAsia="Calibri" w:hAnsi="Calibri" w:cs="Calibri"/>
          <w:sz w:val="18"/>
          <w:szCs w:val="18"/>
        </w:rPr>
        <w:t>3.9.</w:t>
      </w:r>
      <w:r>
        <w:rPr>
          <w:sz w:val="20"/>
          <w:szCs w:val="20"/>
        </w:rPr>
        <w:tab/>
      </w:r>
      <w:r>
        <w:rPr>
          <w:rFonts w:ascii="Calibri" w:eastAsia="Calibri" w:hAnsi="Calibri" w:cs="Calibr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F729E" w:rsidRDefault="004F729E" w:rsidP="004F729E">
      <w:pPr>
        <w:spacing w:line="365" w:lineRule="exact"/>
        <w:rPr>
          <w:sz w:val="20"/>
          <w:szCs w:val="20"/>
        </w:rPr>
      </w:pPr>
    </w:p>
    <w:p w:rsidR="004F729E" w:rsidRDefault="004F729E" w:rsidP="004F729E">
      <w:pPr>
        <w:numPr>
          <w:ilvl w:val="0"/>
          <w:numId w:val="4"/>
        </w:numPr>
        <w:tabs>
          <w:tab w:val="left" w:pos="454"/>
        </w:tabs>
        <w:ind w:left="454" w:hanging="454"/>
        <w:rPr>
          <w:rFonts w:ascii="Calibri" w:eastAsia="Calibri" w:hAnsi="Calibri" w:cs="Calibri"/>
          <w:b/>
          <w:bCs/>
          <w:sz w:val="18"/>
          <w:szCs w:val="18"/>
        </w:rPr>
      </w:pPr>
      <w:r>
        <w:rPr>
          <w:rFonts w:ascii="Calibri" w:eastAsia="Calibri" w:hAnsi="Calibri" w:cs="Calibri"/>
          <w:b/>
          <w:bCs/>
          <w:sz w:val="18"/>
          <w:szCs w:val="18"/>
        </w:rPr>
        <w:t>Příjemce</w:t>
      </w:r>
    </w:p>
    <w:p w:rsidR="004F729E" w:rsidRDefault="004F729E" w:rsidP="004F729E">
      <w:pPr>
        <w:spacing w:line="133" w:lineRule="exact"/>
        <w:rPr>
          <w:sz w:val="20"/>
          <w:szCs w:val="20"/>
        </w:rPr>
      </w:pPr>
    </w:p>
    <w:p w:rsidR="004F729E" w:rsidRDefault="004F729E" w:rsidP="004F729E">
      <w:pPr>
        <w:spacing w:line="230" w:lineRule="auto"/>
        <w:ind w:left="794"/>
        <w:jc w:val="both"/>
        <w:rPr>
          <w:sz w:val="20"/>
          <w:szCs w:val="20"/>
        </w:rPr>
      </w:pPr>
      <w:r>
        <w:rPr>
          <w:rFonts w:ascii="Calibri" w:eastAsia="Calibri" w:hAnsi="Calibri" w:cs="Calibri"/>
          <w:sz w:val="18"/>
          <w:szCs w:val="18"/>
        </w:rPr>
        <w:t>Pojmem „</w:t>
      </w:r>
      <w:r>
        <w:rPr>
          <w:rFonts w:ascii="Calibri" w:eastAsia="Calibri" w:hAnsi="Calibri" w:cs="Calibri"/>
          <w:b/>
          <w:bCs/>
          <w:sz w:val="18"/>
          <w:szCs w:val="18"/>
        </w:rPr>
        <w:t>Příjemce</w:t>
      </w:r>
      <w:r>
        <w:rPr>
          <w:rFonts w:ascii="Calibri" w:eastAsia="Calibri" w:hAnsi="Calibri" w:cs="Calibr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F729E" w:rsidRDefault="004F729E" w:rsidP="004F729E">
      <w:pPr>
        <w:spacing w:line="235" w:lineRule="exact"/>
        <w:rPr>
          <w:sz w:val="20"/>
          <w:szCs w:val="20"/>
        </w:rPr>
      </w:pPr>
    </w:p>
    <w:p w:rsidR="004F729E" w:rsidRDefault="004F729E" w:rsidP="004F729E">
      <w:pPr>
        <w:numPr>
          <w:ilvl w:val="0"/>
          <w:numId w:val="5"/>
        </w:numPr>
        <w:tabs>
          <w:tab w:val="left" w:pos="494"/>
        </w:tabs>
        <w:ind w:left="494" w:hanging="494"/>
        <w:rPr>
          <w:rFonts w:ascii="Calibri" w:eastAsia="Calibri" w:hAnsi="Calibri" w:cs="Calibri"/>
          <w:b/>
          <w:bCs/>
          <w:sz w:val="18"/>
          <w:szCs w:val="18"/>
        </w:rPr>
      </w:pPr>
      <w:r>
        <w:rPr>
          <w:rFonts w:ascii="Calibri" w:eastAsia="Calibri" w:hAnsi="Calibri" w:cs="Calibri"/>
          <w:b/>
          <w:bCs/>
          <w:sz w:val="18"/>
          <w:szCs w:val="18"/>
        </w:rPr>
        <w:t>Spolupráce Smluvních stran, profesní bezúhonnost a dodržování předpisů, bezpečnost při práci</w:t>
      </w:r>
    </w:p>
    <w:p w:rsidR="004F729E" w:rsidRDefault="004F729E" w:rsidP="004F729E">
      <w:pPr>
        <w:spacing w:line="133"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5.1.</w:t>
      </w:r>
      <w:r>
        <w:rPr>
          <w:sz w:val="20"/>
          <w:szCs w:val="20"/>
        </w:rPr>
        <w:tab/>
      </w:r>
      <w:r>
        <w:rPr>
          <w:rFonts w:ascii="Calibri" w:eastAsia="Calibri" w:hAnsi="Calibri" w:cs="Calibr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F729E" w:rsidRDefault="004F729E" w:rsidP="004F729E">
      <w:pPr>
        <w:spacing w:line="134"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5.2.</w:t>
      </w:r>
      <w:r>
        <w:rPr>
          <w:sz w:val="20"/>
          <w:szCs w:val="20"/>
        </w:rPr>
        <w:tab/>
      </w:r>
      <w:r>
        <w:rPr>
          <w:rFonts w:ascii="Calibri" w:eastAsia="Calibri" w:hAnsi="Calibri" w:cs="Calibr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F729E" w:rsidRDefault="004F729E" w:rsidP="004F729E">
      <w:pPr>
        <w:spacing w:line="134" w:lineRule="exact"/>
        <w:rPr>
          <w:sz w:val="20"/>
          <w:szCs w:val="20"/>
        </w:rPr>
      </w:pPr>
    </w:p>
    <w:p w:rsidR="004F729E" w:rsidRDefault="004F729E" w:rsidP="004F729E">
      <w:pPr>
        <w:tabs>
          <w:tab w:val="left" w:pos="774"/>
        </w:tabs>
        <w:spacing w:line="241" w:lineRule="auto"/>
        <w:ind w:left="794" w:hanging="438"/>
        <w:jc w:val="both"/>
        <w:rPr>
          <w:rFonts w:ascii="Calibri" w:eastAsia="Calibri" w:hAnsi="Calibri" w:cs="Calibri"/>
          <w:sz w:val="18"/>
          <w:szCs w:val="18"/>
        </w:rPr>
      </w:pPr>
      <w:r>
        <w:rPr>
          <w:rFonts w:ascii="Calibri" w:eastAsia="Calibri" w:hAnsi="Calibri" w:cs="Calibri"/>
          <w:sz w:val="18"/>
          <w:szCs w:val="18"/>
        </w:rPr>
        <w:t>5.3.</w:t>
      </w:r>
      <w:r>
        <w:rPr>
          <w:sz w:val="20"/>
          <w:szCs w:val="20"/>
        </w:rPr>
        <w:tab/>
      </w:r>
      <w:r>
        <w:rPr>
          <w:rFonts w:ascii="Calibri" w:eastAsia="Calibri" w:hAnsi="Calibri" w:cs="Calibr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rFonts w:ascii="Calibri" w:eastAsia="Calibri" w:hAnsi="Calibri" w:cs="Calibri"/>
          <w:sz w:val="18"/>
          <w:szCs w:val="18"/>
          <w:u w:val="single"/>
        </w:rPr>
        <w:t>http://www.eon.cz/o-nas/o-skupine-eon/pro-partnery/vseobecne-nakupni-podminky</w:t>
      </w:r>
      <w:r>
        <w:rPr>
          <w:rFonts w:ascii="Calibri" w:eastAsia="Calibri" w:hAnsi="Calibri" w:cs="Calibri"/>
          <w:sz w:val="18"/>
          <w:szCs w:val="18"/>
        </w:rPr>
        <w:t>)</w:t>
      </w:r>
      <w:hyperlink r:id="rId8">
        <w:r>
          <w:rPr>
            <w:rFonts w:ascii="Calibri" w:eastAsia="Calibri" w:hAnsi="Calibri" w:cs="Calibri"/>
            <w:sz w:val="18"/>
            <w:szCs w:val="18"/>
          </w:rPr>
          <w:t xml:space="preserve">. </w:t>
        </w:r>
      </w:hyperlink>
      <w:r>
        <w:rPr>
          <w:rFonts w:ascii="Calibri" w:eastAsia="Calibri" w:hAnsi="Calibri" w:cs="Calibr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Default="004F729E" w:rsidP="004F729E">
      <w:pPr>
        <w:spacing w:line="136"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5.4.</w:t>
      </w:r>
      <w:r>
        <w:rPr>
          <w:sz w:val="20"/>
          <w:szCs w:val="20"/>
        </w:rPr>
        <w:tab/>
      </w:r>
      <w:r>
        <w:rPr>
          <w:rFonts w:ascii="Calibri" w:eastAsia="Calibri" w:hAnsi="Calibri" w:cs="Calibr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F729E" w:rsidRDefault="004F729E" w:rsidP="004F729E">
      <w:pPr>
        <w:spacing w:line="134" w:lineRule="exact"/>
        <w:rPr>
          <w:sz w:val="20"/>
          <w:szCs w:val="20"/>
        </w:rPr>
      </w:pPr>
    </w:p>
    <w:p w:rsidR="004F729E" w:rsidRDefault="004F729E" w:rsidP="004F729E">
      <w:pPr>
        <w:tabs>
          <w:tab w:val="left" w:pos="794"/>
        </w:tabs>
        <w:spacing w:line="235" w:lineRule="auto"/>
        <w:ind w:left="814" w:right="20" w:hanging="438"/>
        <w:jc w:val="both"/>
        <w:rPr>
          <w:sz w:val="20"/>
          <w:szCs w:val="20"/>
        </w:rPr>
      </w:pPr>
      <w:r>
        <w:rPr>
          <w:rFonts w:ascii="Calibri" w:eastAsia="Calibri" w:hAnsi="Calibri" w:cs="Calibri"/>
          <w:sz w:val="18"/>
          <w:szCs w:val="18"/>
        </w:rPr>
        <w:lastRenderedPageBreak/>
        <w:t>5.5.</w:t>
      </w:r>
      <w:r>
        <w:rPr>
          <w:sz w:val="20"/>
          <w:szCs w:val="20"/>
        </w:rPr>
        <w:tab/>
      </w:r>
      <w:r>
        <w:rPr>
          <w:rFonts w:ascii="Calibri" w:eastAsia="Calibri" w:hAnsi="Calibri" w:cs="Calibri"/>
          <w:sz w:val="17"/>
          <w:szCs w:val="17"/>
        </w:rPr>
        <w:t>Poskytovatel je povinen disponovat po celou dobu realizace smlouvy veškerými oprávněními, která jsou potřebná pro realizaci dané smlouvy, a/nebo která jsou pro realizaci dané smlouvy českými veřejnoprávními předpisy vyžadována, zejména</w:t>
      </w:r>
    </w:p>
    <w:p w:rsidR="004F729E" w:rsidRDefault="004F729E" w:rsidP="004F729E">
      <w:pPr>
        <w:sectPr w:rsidR="004F729E">
          <w:pgSz w:w="11900" w:h="16838"/>
          <w:pgMar w:top="717" w:right="1006" w:bottom="866"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0" w:lineRule="auto"/>
        <w:ind w:left="814" w:right="20"/>
        <w:rPr>
          <w:sz w:val="20"/>
          <w:szCs w:val="20"/>
        </w:rPr>
      </w:pPr>
      <w:r>
        <w:rPr>
          <w:rFonts w:ascii="Calibri" w:eastAsia="Calibri" w:hAnsi="Calibri" w:cs="Calibri"/>
          <w:sz w:val="18"/>
          <w:szCs w:val="18"/>
        </w:rPr>
        <w:t>příslušným oprávněním k podnikání. Existenci těchto oprávnění je Poskytovatel povinen na vyžádání odběratele doložit, k čemuž zároveň ve smlouvě o poddodávkách zaváže poddodavatele, pokud je využije pro realizaci části smlouvy</w:t>
      </w:r>
    </w:p>
    <w:p w:rsidR="004F729E" w:rsidRDefault="004F729E" w:rsidP="004F729E">
      <w:pPr>
        <w:spacing w:line="135" w:lineRule="exact"/>
        <w:rPr>
          <w:sz w:val="20"/>
          <w:szCs w:val="20"/>
        </w:rPr>
      </w:pPr>
    </w:p>
    <w:p w:rsidR="004F729E" w:rsidRDefault="004F729E" w:rsidP="004F729E">
      <w:pPr>
        <w:tabs>
          <w:tab w:val="left" w:pos="794"/>
        </w:tabs>
        <w:spacing w:line="241" w:lineRule="auto"/>
        <w:ind w:left="814" w:right="20" w:hanging="438"/>
        <w:jc w:val="both"/>
        <w:rPr>
          <w:sz w:val="20"/>
          <w:szCs w:val="20"/>
        </w:rPr>
      </w:pPr>
      <w:r>
        <w:rPr>
          <w:rFonts w:ascii="Calibri" w:eastAsia="Calibri" w:hAnsi="Calibri" w:cs="Calibri"/>
          <w:sz w:val="18"/>
          <w:szCs w:val="18"/>
        </w:rPr>
        <w:t>5.6.</w:t>
      </w:r>
      <w:r>
        <w:rPr>
          <w:sz w:val="20"/>
          <w:szCs w:val="20"/>
        </w:rPr>
        <w:tab/>
      </w:r>
      <w:r>
        <w:rPr>
          <w:rFonts w:ascii="Calibri" w:eastAsia="Calibri" w:hAnsi="Calibri" w:cs="Calibr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F729E" w:rsidRDefault="004F729E" w:rsidP="004F729E">
      <w:pPr>
        <w:spacing w:line="133" w:lineRule="exact"/>
        <w:rPr>
          <w:sz w:val="20"/>
          <w:szCs w:val="20"/>
        </w:rPr>
      </w:pPr>
    </w:p>
    <w:p w:rsidR="004F729E" w:rsidRDefault="004F729E" w:rsidP="004F729E">
      <w:pPr>
        <w:tabs>
          <w:tab w:val="left" w:pos="794"/>
        </w:tabs>
        <w:spacing w:line="230" w:lineRule="auto"/>
        <w:ind w:left="814" w:right="20" w:hanging="438"/>
        <w:jc w:val="both"/>
        <w:rPr>
          <w:sz w:val="20"/>
          <w:szCs w:val="20"/>
        </w:rPr>
      </w:pPr>
      <w:r>
        <w:rPr>
          <w:rFonts w:ascii="Calibri" w:eastAsia="Calibri" w:hAnsi="Calibri" w:cs="Calibri"/>
          <w:sz w:val="18"/>
          <w:szCs w:val="18"/>
        </w:rPr>
        <w:t>5.7.</w:t>
      </w:r>
      <w:r>
        <w:rPr>
          <w:sz w:val="20"/>
          <w:szCs w:val="20"/>
        </w:rPr>
        <w:tab/>
      </w:r>
      <w:r>
        <w:rPr>
          <w:rFonts w:ascii="Calibri" w:eastAsia="Calibri" w:hAnsi="Calibri" w:cs="Calibr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F729E" w:rsidRDefault="004F729E" w:rsidP="004F729E">
      <w:pPr>
        <w:spacing w:line="134" w:lineRule="exact"/>
        <w:rPr>
          <w:sz w:val="20"/>
          <w:szCs w:val="20"/>
        </w:rPr>
      </w:pPr>
    </w:p>
    <w:p w:rsidR="004F729E" w:rsidRDefault="004F729E" w:rsidP="004F729E">
      <w:pPr>
        <w:tabs>
          <w:tab w:val="left" w:pos="794"/>
        </w:tabs>
        <w:spacing w:line="232" w:lineRule="auto"/>
        <w:ind w:left="814" w:right="20" w:hanging="438"/>
        <w:jc w:val="both"/>
        <w:rPr>
          <w:sz w:val="20"/>
          <w:szCs w:val="20"/>
        </w:rPr>
      </w:pPr>
      <w:r>
        <w:rPr>
          <w:rFonts w:ascii="Calibri" w:eastAsia="Calibri" w:hAnsi="Calibri" w:cs="Calibri"/>
          <w:sz w:val="18"/>
          <w:szCs w:val="18"/>
        </w:rPr>
        <w:t>5.8.</w:t>
      </w:r>
      <w:r>
        <w:rPr>
          <w:sz w:val="20"/>
          <w:szCs w:val="20"/>
        </w:rPr>
        <w:tab/>
      </w:r>
      <w:r>
        <w:rPr>
          <w:rFonts w:ascii="Calibri" w:eastAsia="Calibri" w:hAnsi="Calibri" w:cs="Calibr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F729E" w:rsidRDefault="004F729E" w:rsidP="004F729E">
      <w:pPr>
        <w:spacing w:line="137" w:lineRule="exact"/>
        <w:rPr>
          <w:sz w:val="20"/>
          <w:szCs w:val="20"/>
        </w:rPr>
      </w:pPr>
    </w:p>
    <w:p w:rsidR="004F729E" w:rsidRDefault="004F729E" w:rsidP="004F729E">
      <w:pPr>
        <w:tabs>
          <w:tab w:val="left" w:pos="774"/>
        </w:tabs>
        <w:spacing w:line="255" w:lineRule="auto"/>
        <w:ind w:left="794" w:right="20" w:hanging="438"/>
        <w:jc w:val="both"/>
        <w:rPr>
          <w:sz w:val="20"/>
          <w:szCs w:val="20"/>
        </w:rPr>
      </w:pPr>
      <w:r>
        <w:rPr>
          <w:rFonts w:ascii="Calibri" w:eastAsia="Calibri" w:hAnsi="Calibri" w:cs="Calibri"/>
          <w:sz w:val="18"/>
          <w:szCs w:val="18"/>
        </w:rPr>
        <w:t>5.9.</w:t>
      </w:r>
      <w:r>
        <w:rPr>
          <w:sz w:val="20"/>
          <w:szCs w:val="20"/>
        </w:rPr>
        <w:tab/>
      </w:r>
      <w:r>
        <w:rPr>
          <w:rFonts w:ascii="Calibri" w:eastAsia="Calibri" w:hAnsi="Calibri" w:cs="Calibr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F729E" w:rsidRDefault="004F729E" w:rsidP="004F729E">
      <w:pPr>
        <w:spacing w:line="122"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F729E" w:rsidRDefault="004F729E" w:rsidP="004F729E">
      <w:pPr>
        <w:spacing w:line="134" w:lineRule="exact"/>
        <w:rPr>
          <w:sz w:val="20"/>
          <w:szCs w:val="20"/>
        </w:rPr>
      </w:pPr>
    </w:p>
    <w:p w:rsidR="004F729E" w:rsidRDefault="004F729E" w:rsidP="004F729E">
      <w:pPr>
        <w:ind w:left="794" w:right="20" w:hanging="438"/>
        <w:jc w:val="both"/>
        <w:rPr>
          <w:sz w:val="20"/>
          <w:szCs w:val="20"/>
        </w:rPr>
      </w:pPr>
      <w:r>
        <w:rPr>
          <w:rFonts w:ascii="Calibri" w:eastAsia="Calibri" w:hAnsi="Calibri" w:cs="Calibr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F729E" w:rsidRDefault="004F729E" w:rsidP="004F729E">
      <w:pPr>
        <w:spacing w:line="101" w:lineRule="exact"/>
        <w:rPr>
          <w:sz w:val="20"/>
          <w:szCs w:val="20"/>
        </w:rPr>
      </w:pPr>
    </w:p>
    <w:p w:rsidR="004F729E" w:rsidRDefault="004F729E" w:rsidP="004F729E">
      <w:pPr>
        <w:spacing w:line="220" w:lineRule="auto"/>
        <w:ind w:left="814" w:right="20" w:hanging="438"/>
        <w:jc w:val="both"/>
        <w:rPr>
          <w:sz w:val="20"/>
          <w:szCs w:val="20"/>
        </w:rPr>
      </w:pPr>
      <w:r>
        <w:rPr>
          <w:rFonts w:ascii="Calibri" w:eastAsia="Calibri" w:hAnsi="Calibri" w:cs="Calibr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numPr>
          <w:ilvl w:val="0"/>
          <w:numId w:val="6"/>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Doba poskytování plnění</w:t>
      </w:r>
    </w:p>
    <w:p w:rsidR="004F729E" w:rsidRDefault="004F729E" w:rsidP="004F729E">
      <w:pPr>
        <w:spacing w:line="133" w:lineRule="exact"/>
        <w:rPr>
          <w:sz w:val="20"/>
          <w:szCs w:val="20"/>
        </w:rPr>
      </w:pPr>
    </w:p>
    <w:p w:rsidR="004F729E" w:rsidRDefault="004F729E" w:rsidP="004F729E">
      <w:pPr>
        <w:tabs>
          <w:tab w:val="left" w:pos="774"/>
        </w:tabs>
        <w:spacing w:line="234" w:lineRule="auto"/>
        <w:ind w:left="794" w:hanging="438"/>
        <w:jc w:val="both"/>
        <w:rPr>
          <w:sz w:val="20"/>
          <w:szCs w:val="20"/>
        </w:rPr>
      </w:pPr>
      <w:r>
        <w:rPr>
          <w:rFonts w:ascii="Calibri" w:eastAsia="Calibri" w:hAnsi="Calibri" w:cs="Calibri"/>
          <w:sz w:val="18"/>
          <w:szCs w:val="18"/>
        </w:rPr>
        <w:t>6.1.</w:t>
      </w:r>
      <w:r>
        <w:rPr>
          <w:sz w:val="20"/>
          <w:szCs w:val="20"/>
        </w:rPr>
        <w:tab/>
      </w:r>
      <w:r>
        <w:rPr>
          <w:rFonts w:ascii="Calibri" w:eastAsia="Calibri" w:hAnsi="Calibri" w:cs="Calibr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F729E" w:rsidRDefault="004F729E" w:rsidP="004F729E">
      <w:pPr>
        <w:spacing w:line="134" w:lineRule="exact"/>
        <w:rPr>
          <w:sz w:val="20"/>
          <w:szCs w:val="20"/>
        </w:rPr>
      </w:pPr>
    </w:p>
    <w:p w:rsidR="004F729E" w:rsidRDefault="004F729E" w:rsidP="004F729E">
      <w:pPr>
        <w:tabs>
          <w:tab w:val="left" w:pos="774"/>
        </w:tabs>
        <w:spacing w:line="230" w:lineRule="auto"/>
        <w:ind w:left="794" w:right="20" w:hanging="438"/>
        <w:jc w:val="both"/>
        <w:rPr>
          <w:sz w:val="20"/>
          <w:szCs w:val="20"/>
        </w:rPr>
      </w:pPr>
      <w:r>
        <w:rPr>
          <w:rFonts w:ascii="Calibri" w:eastAsia="Calibri" w:hAnsi="Calibri" w:cs="Calibri"/>
          <w:sz w:val="18"/>
          <w:szCs w:val="18"/>
        </w:rPr>
        <w:t>6.2.</w:t>
      </w:r>
      <w:r>
        <w:rPr>
          <w:sz w:val="20"/>
          <w:szCs w:val="20"/>
        </w:rPr>
        <w:tab/>
      </w:r>
      <w:r>
        <w:rPr>
          <w:rFonts w:ascii="Calibri" w:eastAsia="Calibri" w:hAnsi="Calibri" w:cs="Calibr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F729E" w:rsidRDefault="004F729E" w:rsidP="004F729E">
      <w:pPr>
        <w:spacing w:line="364" w:lineRule="exact"/>
        <w:rPr>
          <w:sz w:val="20"/>
          <w:szCs w:val="20"/>
        </w:rPr>
      </w:pPr>
    </w:p>
    <w:p w:rsidR="004F729E" w:rsidRDefault="004F729E" w:rsidP="004F729E">
      <w:pPr>
        <w:numPr>
          <w:ilvl w:val="0"/>
          <w:numId w:val="7"/>
        </w:numPr>
        <w:tabs>
          <w:tab w:val="left" w:pos="694"/>
        </w:tabs>
        <w:ind w:left="694" w:hanging="694"/>
        <w:rPr>
          <w:rFonts w:ascii="Calibri" w:eastAsia="Calibri" w:hAnsi="Calibri" w:cs="Calibri"/>
          <w:b/>
          <w:bCs/>
          <w:sz w:val="18"/>
          <w:szCs w:val="18"/>
        </w:rPr>
      </w:pPr>
      <w:r>
        <w:rPr>
          <w:rFonts w:ascii="Calibri" w:eastAsia="Calibri" w:hAnsi="Calibri" w:cs="Calibri"/>
          <w:b/>
          <w:bCs/>
          <w:sz w:val="18"/>
          <w:szCs w:val="18"/>
        </w:rPr>
        <w:t>Místo plnění/Doprava</w:t>
      </w:r>
    </w:p>
    <w:p w:rsidR="004F729E" w:rsidRDefault="004F729E" w:rsidP="004F729E">
      <w:pPr>
        <w:spacing w:line="134" w:lineRule="exact"/>
        <w:rPr>
          <w:sz w:val="20"/>
          <w:szCs w:val="20"/>
        </w:rPr>
      </w:pPr>
    </w:p>
    <w:p w:rsidR="004F729E" w:rsidRDefault="004F729E" w:rsidP="004F729E">
      <w:pPr>
        <w:tabs>
          <w:tab w:val="left" w:pos="774"/>
        </w:tabs>
        <w:spacing w:line="229" w:lineRule="auto"/>
        <w:ind w:left="794" w:hanging="438"/>
        <w:jc w:val="both"/>
        <w:rPr>
          <w:sz w:val="20"/>
          <w:szCs w:val="20"/>
        </w:rPr>
      </w:pPr>
      <w:r>
        <w:rPr>
          <w:rFonts w:ascii="Calibri" w:eastAsia="Calibri" w:hAnsi="Calibri" w:cs="Calibri"/>
          <w:sz w:val="18"/>
          <w:szCs w:val="18"/>
        </w:rPr>
        <w:t>7.1.</w:t>
      </w:r>
      <w:r>
        <w:rPr>
          <w:sz w:val="20"/>
          <w:szCs w:val="20"/>
        </w:rPr>
        <w:tab/>
      </w:r>
      <w:r>
        <w:rPr>
          <w:rFonts w:ascii="Calibri" w:eastAsia="Calibri" w:hAnsi="Calibri" w:cs="Calibri"/>
          <w:sz w:val="18"/>
          <w:szCs w:val="18"/>
        </w:rPr>
        <w:t xml:space="preserve">Veškeré služby a zboží musí být poskytovány s dodáním zdarma do místa jejich užívání podle pravidla DDP </w:t>
      </w:r>
      <w:proofErr w:type="spellStart"/>
      <w:r>
        <w:rPr>
          <w:rFonts w:ascii="Calibri" w:eastAsia="Calibri" w:hAnsi="Calibri" w:cs="Calibri"/>
          <w:sz w:val="18"/>
          <w:szCs w:val="18"/>
        </w:rPr>
        <w:t>Incoterms</w:t>
      </w:r>
      <w:proofErr w:type="spellEnd"/>
      <w:r>
        <w:rPr>
          <w:rFonts w:ascii="Calibri" w:eastAsia="Calibri" w:hAnsi="Calibri" w:cs="Calibri"/>
          <w:sz w:val="18"/>
          <w:szCs w:val="18"/>
        </w:rPr>
        <w:t xml:space="preserve"> 2010. Součástí každého plnění musí být dodací list nebo jiný ověřitelný doklad. Doprava na místo určení se uskuteční na náklady a riziko Dodavatele.</w:t>
      </w:r>
    </w:p>
    <w:p w:rsidR="004F729E" w:rsidRDefault="004F729E" w:rsidP="004F729E">
      <w:pPr>
        <w:spacing w:line="134" w:lineRule="exact"/>
        <w:rPr>
          <w:sz w:val="20"/>
          <w:szCs w:val="20"/>
        </w:rPr>
      </w:pPr>
    </w:p>
    <w:p w:rsidR="004F729E" w:rsidRDefault="004F729E" w:rsidP="004F729E">
      <w:pPr>
        <w:tabs>
          <w:tab w:val="left" w:pos="774"/>
        </w:tabs>
        <w:spacing w:line="234" w:lineRule="auto"/>
        <w:ind w:left="794" w:right="20" w:hanging="438"/>
        <w:jc w:val="both"/>
        <w:rPr>
          <w:sz w:val="20"/>
          <w:szCs w:val="20"/>
        </w:rPr>
      </w:pPr>
      <w:r>
        <w:rPr>
          <w:rFonts w:ascii="Calibri" w:eastAsia="Calibri" w:hAnsi="Calibri" w:cs="Calibri"/>
          <w:sz w:val="18"/>
          <w:szCs w:val="18"/>
        </w:rPr>
        <w:t>7.2.</w:t>
      </w:r>
      <w:r>
        <w:rPr>
          <w:sz w:val="20"/>
          <w:szCs w:val="20"/>
        </w:rPr>
        <w:tab/>
      </w:r>
      <w:r>
        <w:rPr>
          <w:rFonts w:ascii="Calibri" w:eastAsia="Calibri" w:hAnsi="Calibri" w:cs="Calibr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F729E" w:rsidRDefault="004F729E" w:rsidP="004F729E">
      <w:pPr>
        <w:spacing w:line="134" w:lineRule="exact"/>
        <w:rPr>
          <w:sz w:val="20"/>
          <w:szCs w:val="20"/>
        </w:rPr>
      </w:pPr>
    </w:p>
    <w:p w:rsidR="004F729E" w:rsidRDefault="004F729E" w:rsidP="004F729E">
      <w:pPr>
        <w:spacing w:line="220" w:lineRule="auto"/>
        <w:ind w:left="794" w:right="20" w:hanging="397"/>
        <w:rPr>
          <w:sz w:val="20"/>
          <w:szCs w:val="20"/>
        </w:rPr>
      </w:pPr>
      <w:r>
        <w:rPr>
          <w:rFonts w:ascii="Calibri" w:eastAsia="Calibri" w:hAnsi="Calibri" w:cs="Calibri"/>
          <w:sz w:val="18"/>
          <w:szCs w:val="18"/>
        </w:rPr>
        <w:lastRenderedPageBreak/>
        <w:t>7.3. V přepravní dokumentaci musí být uvedeny údaje týkající se objednávky (číslo objednávky, datum objednávky, místo dodání a případně jméno příjemce zásilky a číslo materiálu) spolu s adresou místa dodání.</w:t>
      </w:r>
    </w:p>
    <w:p w:rsidR="004F729E" w:rsidRDefault="004F729E" w:rsidP="004F729E">
      <w:pPr>
        <w:sectPr w:rsidR="004F729E">
          <w:pgSz w:w="11900" w:h="16838"/>
          <w:pgMar w:top="717" w:right="1006" w:bottom="956"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0" w:lineRule="auto"/>
        <w:ind w:left="720" w:right="20" w:hanging="361"/>
        <w:jc w:val="both"/>
        <w:rPr>
          <w:sz w:val="20"/>
          <w:szCs w:val="20"/>
        </w:rPr>
      </w:pPr>
      <w:r>
        <w:rPr>
          <w:rFonts w:ascii="Calibri" w:eastAsia="Calibri" w:hAnsi="Calibri" w:cs="Calibri"/>
          <w:sz w:val="18"/>
          <w:szCs w:val="18"/>
        </w:rPr>
        <w:t>7.4. Náklady, které vzniknou v důsledku dodávek dodaných na nesprávné místo nese Dodavatel, pokud převezme odpovědnost za přepravu nebo pokud dodání na nesprávné místo způsobil.</w:t>
      </w:r>
    </w:p>
    <w:p w:rsidR="004F729E" w:rsidRDefault="004F729E" w:rsidP="004F729E">
      <w:pPr>
        <w:spacing w:line="135" w:lineRule="exact"/>
        <w:rPr>
          <w:sz w:val="20"/>
          <w:szCs w:val="20"/>
        </w:rPr>
      </w:pPr>
    </w:p>
    <w:p w:rsidR="004F729E" w:rsidRDefault="004F729E" w:rsidP="004F729E">
      <w:pPr>
        <w:tabs>
          <w:tab w:val="left" w:pos="780"/>
        </w:tabs>
        <w:spacing w:line="220" w:lineRule="auto"/>
        <w:ind w:left="800" w:right="20" w:hanging="438"/>
        <w:jc w:val="both"/>
        <w:rPr>
          <w:sz w:val="20"/>
          <w:szCs w:val="20"/>
        </w:rPr>
      </w:pPr>
      <w:r>
        <w:rPr>
          <w:rFonts w:ascii="Calibri" w:eastAsia="Calibri" w:hAnsi="Calibri" w:cs="Calibri"/>
          <w:sz w:val="18"/>
          <w:szCs w:val="18"/>
        </w:rPr>
        <w:t>7.5.</w:t>
      </w:r>
      <w:r>
        <w:rPr>
          <w:sz w:val="20"/>
          <w:szCs w:val="20"/>
        </w:rPr>
        <w:tab/>
      </w:r>
      <w:r>
        <w:rPr>
          <w:rFonts w:ascii="Calibri" w:eastAsia="Calibri" w:hAnsi="Calibri" w:cs="Calibri"/>
          <w:sz w:val="18"/>
          <w:szCs w:val="18"/>
        </w:rPr>
        <w:t>Dodavatel je oprávněn poskytnout částečné dodávky nebo částečné plnění pouze s předchozím souhlasem společnosti E.ON v písemné nebo textové podobě.</w:t>
      </w:r>
    </w:p>
    <w:p w:rsidR="004F729E" w:rsidRDefault="004F729E" w:rsidP="004F729E">
      <w:pPr>
        <w:spacing w:line="135" w:lineRule="exact"/>
        <w:rPr>
          <w:sz w:val="20"/>
          <w:szCs w:val="20"/>
        </w:rPr>
      </w:pPr>
    </w:p>
    <w:p w:rsidR="004F729E" w:rsidRDefault="004F729E" w:rsidP="004F729E">
      <w:pPr>
        <w:tabs>
          <w:tab w:val="left" w:pos="780"/>
        </w:tabs>
        <w:spacing w:line="236" w:lineRule="auto"/>
        <w:ind w:left="800" w:right="20" w:hanging="438"/>
        <w:jc w:val="both"/>
        <w:rPr>
          <w:sz w:val="20"/>
          <w:szCs w:val="20"/>
        </w:rPr>
      </w:pPr>
      <w:r>
        <w:rPr>
          <w:rFonts w:ascii="Calibri" w:eastAsia="Calibri" w:hAnsi="Calibri" w:cs="Calibri"/>
          <w:sz w:val="18"/>
          <w:szCs w:val="18"/>
        </w:rPr>
        <w:t>7.6.</w:t>
      </w:r>
      <w:r>
        <w:rPr>
          <w:sz w:val="20"/>
          <w:szCs w:val="20"/>
        </w:rPr>
        <w:tab/>
      </w:r>
      <w:r>
        <w:rPr>
          <w:rFonts w:ascii="Calibri" w:eastAsia="Calibri" w:hAnsi="Calibri" w:cs="Calibr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Default="004F729E" w:rsidP="004F729E">
      <w:pPr>
        <w:spacing w:line="134" w:lineRule="exact"/>
        <w:rPr>
          <w:sz w:val="20"/>
          <w:szCs w:val="20"/>
        </w:rPr>
      </w:pPr>
    </w:p>
    <w:p w:rsidR="004F729E" w:rsidRDefault="004F729E" w:rsidP="004F729E">
      <w:pPr>
        <w:tabs>
          <w:tab w:val="left" w:pos="780"/>
        </w:tabs>
        <w:spacing w:line="238" w:lineRule="auto"/>
        <w:ind w:left="800" w:hanging="441"/>
        <w:jc w:val="both"/>
        <w:rPr>
          <w:sz w:val="20"/>
          <w:szCs w:val="20"/>
        </w:rPr>
      </w:pPr>
      <w:r>
        <w:rPr>
          <w:rFonts w:ascii="Calibri" w:eastAsia="Calibri" w:hAnsi="Calibri" w:cs="Calibri"/>
          <w:sz w:val="18"/>
          <w:szCs w:val="18"/>
        </w:rPr>
        <w:t>7.7.</w:t>
      </w:r>
      <w:r>
        <w:rPr>
          <w:rFonts w:ascii="Calibri" w:eastAsia="Calibri" w:hAnsi="Calibri" w:cs="Calibr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F729E" w:rsidRDefault="004F729E" w:rsidP="004F729E">
      <w:pPr>
        <w:spacing w:line="200" w:lineRule="exact"/>
        <w:rPr>
          <w:sz w:val="20"/>
          <w:szCs w:val="20"/>
        </w:rPr>
      </w:pPr>
    </w:p>
    <w:p w:rsidR="004F729E" w:rsidRDefault="004F729E" w:rsidP="004F729E">
      <w:pPr>
        <w:spacing w:line="204" w:lineRule="exact"/>
        <w:rPr>
          <w:sz w:val="20"/>
          <w:szCs w:val="20"/>
        </w:rPr>
      </w:pPr>
    </w:p>
    <w:p w:rsidR="004F729E" w:rsidRDefault="004F729E" w:rsidP="004F729E">
      <w:pPr>
        <w:numPr>
          <w:ilvl w:val="0"/>
          <w:numId w:val="8"/>
        </w:numPr>
        <w:tabs>
          <w:tab w:val="left" w:pos="200"/>
        </w:tabs>
        <w:ind w:left="200" w:hanging="194"/>
        <w:rPr>
          <w:rFonts w:ascii="Calibri" w:eastAsia="Calibri" w:hAnsi="Calibri" w:cs="Calibri"/>
          <w:b/>
          <w:bCs/>
          <w:sz w:val="18"/>
          <w:szCs w:val="18"/>
        </w:rPr>
      </w:pPr>
      <w:r>
        <w:rPr>
          <w:rFonts w:ascii="Calibri" w:eastAsia="Calibri" w:hAnsi="Calibri" w:cs="Calibri"/>
          <w:b/>
          <w:bCs/>
          <w:sz w:val="18"/>
          <w:szCs w:val="18"/>
        </w:rPr>
        <w:t>Přejímka/Přechod vlastnického práva/Přechod nebezpečí škody</w:t>
      </w:r>
    </w:p>
    <w:p w:rsidR="004F729E" w:rsidRDefault="004F729E" w:rsidP="004F729E">
      <w:pPr>
        <w:spacing w:line="133" w:lineRule="exact"/>
        <w:rPr>
          <w:sz w:val="20"/>
          <w:szCs w:val="20"/>
        </w:rPr>
      </w:pPr>
    </w:p>
    <w:p w:rsidR="004F729E" w:rsidRDefault="004F729E" w:rsidP="004F729E">
      <w:pPr>
        <w:tabs>
          <w:tab w:val="left" w:pos="780"/>
        </w:tabs>
        <w:spacing w:line="219" w:lineRule="auto"/>
        <w:ind w:left="800" w:right="20" w:hanging="438"/>
        <w:jc w:val="both"/>
        <w:rPr>
          <w:sz w:val="20"/>
          <w:szCs w:val="20"/>
        </w:rPr>
      </w:pPr>
      <w:r>
        <w:rPr>
          <w:rFonts w:ascii="Calibri" w:eastAsia="Calibri" w:hAnsi="Calibri" w:cs="Calibri"/>
          <w:sz w:val="18"/>
          <w:szCs w:val="18"/>
        </w:rPr>
        <w:t>8.1.</w:t>
      </w:r>
      <w:r>
        <w:rPr>
          <w:sz w:val="20"/>
          <w:szCs w:val="20"/>
        </w:rPr>
        <w:tab/>
      </w:r>
      <w:r>
        <w:rPr>
          <w:rFonts w:ascii="Calibri" w:eastAsia="Calibri" w:hAnsi="Calibri" w:cs="Calibri"/>
          <w:sz w:val="18"/>
          <w:szCs w:val="18"/>
        </w:rPr>
        <w:t>Odběratel přejímá plnění výhradně formalizovaným způsobem. Přejímka musí být písemně zaprotokolována. Dílčí přejímky jsou možné jen v případě, že jsou Odběratelem výslovně písemně požadovány.</w:t>
      </w:r>
    </w:p>
    <w:p w:rsidR="004F729E" w:rsidRDefault="004F729E" w:rsidP="004F729E">
      <w:pPr>
        <w:spacing w:line="137" w:lineRule="exact"/>
        <w:rPr>
          <w:sz w:val="20"/>
          <w:szCs w:val="20"/>
        </w:rPr>
      </w:pPr>
    </w:p>
    <w:p w:rsidR="004F729E" w:rsidRDefault="004F729E" w:rsidP="004F729E">
      <w:pPr>
        <w:tabs>
          <w:tab w:val="left" w:pos="780"/>
        </w:tabs>
        <w:spacing w:line="229" w:lineRule="auto"/>
        <w:ind w:left="800" w:hanging="438"/>
        <w:jc w:val="both"/>
        <w:rPr>
          <w:sz w:val="20"/>
          <w:szCs w:val="20"/>
        </w:rPr>
      </w:pPr>
      <w:r>
        <w:rPr>
          <w:rFonts w:ascii="Calibri" w:eastAsia="Calibri" w:hAnsi="Calibri" w:cs="Calibri"/>
          <w:sz w:val="18"/>
          <w:szCs w:val="18"/>
        </w:rPr>
        <w:t>8.2.</w:t>
      </w:r>
      <w:r>
        <w:rPr>
          <w:sz w:val="20"/>
          <w:szCs w:val="20"/>
        </w:rPr>
        <w:tab/>
      </w:r>
      <w:r>
        <w:rPr>
          <w:rFonts w:ascii="Calibri" w:eastAsia="Calibri" w:hAnsi="Calibri" w:cs="Calibri"/>
          <w:sz w:val="18"/>
          <w:szCs w:val="18"/>
        </w:rPr>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rPr>
          <w:rFonts w:ascii="Calibri" w:eastAsia="Calibri" w:hAnsi="Calibri" w:cs="Calibri"/>
          <w:sz w:val="18"/>
          <w:szCs w:val="18"/>
        </w:rPr>
        <w:t>dříve,</w:t>
      </w:r>
      <w:proofErr w:type="gramEnd"/>
      <w:r>
        <w:rPr>
          <w:rFonts w:ascii="Calibri" w:eastAsia="Calibri" w:hAnsi="Calibri" w:cs="Calibri"/>
          <w:sz w:val="18"/>
          <w:szCs w:val="18"/>
        </w:rPr>
        <w:t xml:space="preserve"> než protokolárním předáním věci Odběrateli bez ohledu na to, kdy měl věc přejmout.</w:t>
      </w:r>
    </w:p>
    <w:p w:rsidR="004F729E" w:rsidRDefault="004F729E" w:rsidP="004F729E">
      <w:pPr>
        <w:spacing w:line="134" w:lineRule="exact"/>
        <w:rPr>
          <w:sz w:val="20"/>
          <w:szCs w:val="20"/>
        </w:rPr>
      </w:pPr>
    </w:p>
    <w:p w:rsidR="004F729E" w:rsidRDefault="004F729E" w:rsidP="004F729E">
      <w:pPr>
        <w:tabs>
          <w:tab w:val="left" w:pos="780"/>
        </w:tabs>
        <w:spacing w:line="229" w:lineRule="auto"/>
        <w:ind w:left="800" w:hanging="438"/>
        <w:jc w:val="both"/>
        <w:rPr>
          <w:sz w:val="20"/>
          <w:szCs w:val="20"/>
        </w:rPr>
      </w:pPr>
      <w:r>
        <w:rPr>
          <w:rFonts w:ascii="Calibri" w:eastAsia="Calibri" w:hAnsi="Calibri" w:cs="Calibri"/>
          <w:sz w:val="18"/>
          <w:szCs w:val="18"/>
        </w:rPr>
        <w:t>8.3.</w:t>
      </w:r>
      <w:r>
        <w:rPr>
          <w:sz w:val="20"/>
          <w:szCs w:val="20"/>
        </w:rPr>
        <w:tab/>
      </w:r>
      <w:r>
        <w:rPr>
          <w:rFonts w:ascii="Calibri" w:eastAsia="Calibri" w:hAnsi="Calibri" w:cs="Calibr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Default="004F729E" w:rsidP="004F729E">
      <w:pPr>
        <w:spacing w:line="134" w:lineRule="exact"/>
        <w:rPr>
          <w:sz w:val="20"/>
          <w:szCs w:val="20"/>
        </w:rPr>
      </w:pPr>
    </w:p>
    <w:p w:rsidR="004F729E" w:rsidRDefault="004F729E" w:rsidP="004F729E">
      <w:pPr>
        <w:tabs>
          <w:tab w:val="left" w:pos="780"/>
        </w:tabs>
        <w:spacing w:line="220" w:lineRule="auto"/>
        <w:ind w:left="800" w:right="20" w:hanging="438"/>
        <w:jc w:val="both"/>
        <w:rPr>
          <w:sz w:val="20"/>
          <w:szCs w:val="20"/>
        </w:rPr>
      </w:pPr>
      <w:r>
        <w:rPr>
          <w:rFonts w:ascii="Calibri" w:eastAsia="Calibri" w:hAnsi="Calibri" w:cs="Calibri"/>
          <w:sz w:val="18"/>
          <w:szCs w:val="18"/>
        </w:rPr>
        <w:t>8.4.</w:t>
      </w:r>
      <w:r>
        <w:rPr>
          <w:rFonts w:ascii="Calibri" w:eastAsia="Calibri" w:hAnsi="Calibri" w:cs="Calibri"/>
          <w:sz w:val="18"/>
          <w:szCs w:val="18"/>
        </w:rPr>
        <w:tab/>
        <w:t>Je-li předmětem plnění smlouvy údržba, oprava či úprava věci, nese po dobu trvání smlouvy nebezpečí škody na této věci Poskytovatel.</w:t>
      </w:r>
    </w:p>
    <w:p w:rsidR="004F729E" w:rsidRDefault="004F729E" w:rsidP="004F729E">
      <w:pPr>
        <w:spacing w:line="135" w:lineRule="exact"/>
        <w:rPr>
          <w:sz w:val="20"/>
          <w:szCs w:val="20"/>
        </w:rPr>
      </w:pPr>
    </w:p>
    <w:p w:rsidR="004F729E" w:rsidRDefault="004F729E" w:rsidP="004F729E">
      <w:pPr>
        <w:tabs>
          <w:tab w:val="left" w:pos="780"/>
        </w:tabs>
        <w:spacing w:line="229" w:lineRule="auto"/>
        <w:ind w:left="800" w:right="20" w:hanging="438"/>
        <w:jc w:val="both"/>
        <w:rPr>
          <w:sz w:val="20"/>
          <w:szCs w:val="20"/>
        </w:rPr>
      </w:pPr>
      <w:r>
        <w:rPr>
          <w:rFonts w:ascii="Calibri" w:eastAsia="Calibri" w:hAnsi="Calibri" w:cs="Calibri"/>
          <w:sz w:val="18"/>
          <w:szCs w:val="18"/>
        </w:rPr>
        <w:t>8.5.</w:t>
      </w:r>
      <w:r>
        <w:rPr>
          <w:sz w:val="20"/>
          <w:szCs w:val="20"/>
        </w:rPr>
        <w:tab/>
      </w:r>
      <w:r>
        <w:rPr>
          <w:rFonts w:ascii="Calibri" w:eastAsia="Calibri" w:hAnsi="Calibri" w:cs="Calibr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Default="004F729E" w:rsidP="004F729E">
      <w:pPr>
        <w:spacing w:line="331" w:lineRule="exact"/>
        <w:rPr>
          <w:sz w:val="20"/>
          <w:szCs w:val="20"/>
        </w:rPr>
      </w:pPr>
    </w:p>
    <w:p w:rsidR="004F729E" w:rsidRDefault="004F729E" w:rsidP="004F729E">
      <w:pPr>
        <w:rPr>
          <w:sz w:val="20"/>
          <w:szCs w:val="20"/>
        </w:rPr>
      </w:pPr>
      <w:r>
        <w:rPr>
          <w:rFonts w:ascii="Calibri" w:eastAsia="Calibri" w:hAnsi="Calibri" w:cs="Calibri"/>
          <w:b/>
          <w:bCs/>
          <w:sz w:val="18"/>
          <w:szCs w:val="18"/>
        </w:rPr>
        <w:t>9. Reklamace vad</w:t>
      </w:r>
    </w:p>
    <w:p w:rsidR="004F729E" w:rsidRDefault="004F729E" w:rsidP="004F729E">
      <w:pPr>
        <w:spacing w:line="99" w:lineRule="exact"/>
        <w:rPr>
          <w:sz w:val="20"/>
          <w:szCs w:val="20"/>
        </w:rPr>
      </w:pPr>
    </w:p>
    <w:p w:rsidR="004F729E" w:rsidRDefault="004F729E" w:rsidP="004F729E">
      <w:pPr>
        <w:spacing w:line="234" w:lineRule="auto"/>
        <w:ind w:left="440" w:right="100"/>
        <w:jc w:val="both"/>
        <w:rPr>
          <w:sz w:val="20"/>
          <w:szCs w:val="20"/>
        </w:rPr>
      </w:pPr>
      <w:r>
        <w:rPr>
          <w:rFonts w:ascii="Calibri" w:eastAsia="Calibri" w:hAnsi="Calibri" w:cs="Calibr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rPr>
          <w:sz w:val="20"/>
          <w:szCs w:val="20"/>
        </w:rPr>
      </w:pPr>
      <w:r>
        <w:rPr>
          <w:rFonts w:ascii="Calibri" w:eastAsia="Calibri" w:hAnsi="Calibri" w:cs="Calibri"/>
          <w:b/>
          <w:bCs/>
          <w:sz w:val="18"/>
          <w:szCs w:val="18"/>
        </w:rPr>
        <w:t>10. Dokumentace</w:t>
      </w:r>
    </w:p>
    <w:p w:rsidR="004F729E" w:rsidRDefault="004F729E" w:rsidP="004F729E">
      <w:pPr>
        <w:spacing w:line="133" w:lineRule="exact"/>
        <w:rPr>
          <w:sz w:val="20"/>
          <w:szCs w:val="20"/>
        </w:rPr>
      </w:pPr>
    </w:p>
    <w:p w:rsidR="004F729E" w:rsidRDefault="004F729E" w:rsidP="004F729E">
      <w:pPr>
        <w:spacing w:line="230" w:lineRule="auto"/>
        <w:ind w:left="800" w:right="20" w:hanging="438"/>
        <w:jc w:val="both"/>
        <w:rPr>
          <w:sz w:val="20"/>
          <w:szCs w:val="20"/>
        </w:rPr>
      </w:pPr>
      <w:r>
        <w:rPr>
          <w:rFonts w:ascii="Calibri" w:eastAsia="Calibri" w:hAnsi="Calibri" w:cs="Calibr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F729E" w:rsidRDefault="004F729E" w:rsidP="004F729E">
      <w:pPr>
        <w:spacing w:line="319" w:lineRule="exact"/>
        <w:rPr>
          <w:sz w:val="20"/>
          <w:szCs w:val="20"/>
        </w:rPr>
      </w:pPr>
    </w:p>
    <w:p w:rsidR="004F729E" w:rsidRDefault="004F729E" w:rsidP="004F729E">
      <w:pPr>
        <w:ind w:left="360"/>
        <w:rPr>
          <w:sz w:val="20"/>
          <w:szCs w:val="20"/>
        </w:rPr>
      </w:pPr>
      <w:r>
        <w:rPr>
          <w:rFonts w:ascii="Calibri" w:eastAsia="Calibri" w:hAnsi="Calibri" w:cs="Calibri"/>
          <w:sz w:val="18"/>
          <w:szCs w:val="18"/>
        </w:rPr>
        <w:t>10.2. Poskytovatel je povinen u náhradních rezervních dílů uvést všechny jednoznačně popsané atributy, např.:</w:t>
      </w:r>
    </w:p>
    <w:p w:rsidR="004F729E" w:rsidRDefault="004F729E" w:rsidP="004F729E">
      <w:pPr>
        <w:spacing w:line="110" w:lineRule="exact"/>
        <w:rPr>
          <w:sz w:val="20"/>
          <w:szCs w:val="20"/>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výrobce,</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typ,</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číslo objednávky/číslo výrobku/identifikační číslo,</w:t>
      </w:r>
    </w:p>
    <w:p w:rsidR="004F729E" w:rsidRDefault="004F729E" w:rsidP="004F729E">
      <w:pPr>
        <w:spacing w:line="17"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rozměry,</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materiál,</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označení normy, např. ČSN, DIN, IEC, ISO atd.</w:t>
      </w:r>
    </w:p>
    <w:p w:rsidR="004F729E" w:rsidRDefault="004F729E" w:rsidP="004F729E">
      <w:pPr>
        <w:spacing w:line="329" w:lineRule="exact"/>
        <w:rPr>
          <w:rFonts w:ascii="Arial" w:eastAsia="Arial" w:hAnsi="Arial" w:cs="Arial"/>
          <w:sz w:val="18"/>
          <w:szCs w:val="18"/>
        </w:rPr>
      </w:pPr>
    </w:p>
    <w:p w:rsidR="004F729E" w:rsidRDefault="004F729E" w:rsidP="004F729E">
      <w:pPr>
        <w:numPr>
          <w:ilvl w:val="0"/>
          <w:numId w:val="9"/>
        </w:numPr>
        <w:tabs>
          <w:tab w:val="left" w:pos="380"/>
        </w:tabs>
        <w:ind w:left="380" w:hanging="360"/>
        <w:rPr>
          <w:rFonts w:ascii="Calibri" w:eastAsia="Calibri" w:hAnsi="Calibri" w:cs="Calibri"/>
          <w:b/>
          <w:bCs/>
          <w:sz w:val="18"/>
          <w:szCs w:val="18"/>
        </w:rPr>
      </w:pPr>
      <w:r>
        <w:rPr>
          <w:rFonts w:ascii="Calibri" w:eastAsia="Calibri" w:hAnsi="Calibri" w:cs="Calibri"/>
          <w:b/>
          <w:bCs/>
          <w:sz w:val="18"/>
          <w:szCs w:val="18"/>
        </w:rPr>
        <w:t>Nároky z vad, promlčení</w:t>
      </w:r>
    </w:p>
    <w:p w:rsidR="004F729E" w:rsidRDefault="004F729E" w:rsidP="004F729E">
      <w:pPr>
        <w:spacing w:line="131" w:lineRule="exact"/>
        <w:rPr>
          <w:sz w:val="20"/>
          <w:szCs w:val="20"/>
        </w:rPr>
      </w:pPr>
    </w:p>
    <w:p w:rsidR="004F729E" w:rsidRDefault="004F729E" w:rsidP="004F729E">
      <w:pPr>
        <w:spacing w:line="220" w:lineRule="auto"/>
        <w:ind w:left="800" w:right="20" w:hanging="441"/>
        <w:rPr>
          <w:sz w:val="20"/>
          <w:szCs w:val="20"/>
        </w:rPr>
      </w:pPr>
      <w:r>
        <w:rPr>
          <w:rFonts w:ascii="Calibri" w:eastAsia="Calibri" w:hAnsi="Calibri" w:cs="Calibri"/>
          <w:sz w:val="18"/>
          <w:szCs w:val="18"/>
        </w:rPr>
        <w:lastRenderedPageBreak/>
        <w:t>11.1. Bez ohledu na to, zda je dodáním zboží s vadami, předáním díla s vadami či dodáním jiného vadného plnění smlouva porušena podstatným způsobem či nikoli, může Odběratel:</w:t>
      </w:r>
    </w:p>
    <w:p w:rsidR="004F729E" w:rsidRDefault="004F729E" w:rsidP="004F729E">
      <w:pPr>
        <w:sectPr w:rsidR="004F729E">
          <w:pgSz w:w="11900" w:h="16838"/>
          <w:pgMar w:top="717" w:right="1006" w:bottom="819" w:left="1000" w:header="0" w:footer="0" w:gutter="0"/>
          <w:cols w:space="708" w:equalWidth="0">
            <w:col w:w="9900"/>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numPr>
          <w:ilvl w:val="0"/>
          <w:numId w:val="10"/>
        </w:numPr>
        <w:tabs>
          <w:tab w:val="left" w:pos="979"/>
        </w:tabs>
        <w:spacing w:line="220" w:lineRule="auto"/>
        <w:ind w:left="794" w:right="20" w:hanging="2"/>
        <w:rPr>
          <w:rFonts w:ascii="Calibri" w:eastAsia="Calibri" w:hAnsi="Calibri" w:cs="Calibri"/>
          <w:sz w:val="18"/>
          <w:szCs w:val="18"/>
        </w:rPr>
      </w:pPr>
      <w:r>
        <w:rPr>
          <w:rFonts w:ascii="Calibri" w:eastAsia="Calibri" w:hAnsi="Calibri" w:cs="Calibri"/>
          <w:sz w:val="18"/>
          <w:szCs w:val="18"/>
        </w:rPr>
        <w:t>požadovat odstranění vad dodáním náhradního zboží, díla, výkonu či práce (dále jen „předmět plnění“) za vadný předmět plnění, dodání chybějící části předmětu plnění a požadovat odstranění právních vad,</w:t>
      </w:r>
    </w:p>
    <w:p w:rsidR="004F729E" w:rsidRDefault="004F729E" w:rsidP="004F729E">
      <w:pPr>
        <w:spacing w:line="91" w:lineRule="exact"/>
        <w:rPr>
          <w:rFonts w:ascii="Calibri" w:eastAsia="Calibri" w:hAnsi="Calibri" w:cs="Calibri"/>
          <w:sz w:val="18"/>
          <w:szCs w:val="18"/>
        </w:rPr>
      </w:pPr>
    </w:p>
    <w:p w:rsidR="004F729E" w:rsidRDefault="004F729E" w:rsidP="004F729E">
      <w:pPr>
        <w:numPr>
          <w:ilvl w:val="0"/>
          <w:numId w:val="10"/>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odstranění vad předmětu plnění opravou zboží, je-li to z povahy věci možné,</w:t>
      </w:r>
    </w:p>
    <w:p w:rsidR="004F729E" w:rsidRDefault="004F729E" w:rsidP="004F729E">
      <w:pPr>
        <w:spacing w:line="90" w:lineRule="exact"/>
        <w:rPr>
          <w:sz w:val="20"/>
          <w:szCs w:val="20"/>
        </w:rPr>
      </w:pPr>
    </w:p>
    <w:p w:rsidR="004F729E" w:rsidRDefault="004F729E" w:rsidP="004F729E">
      <w:pPr>
        <w:ind w:left="794"/>
        <w:rPr>
          <w:sz w:val="20"/>
          <w:szCs w:val="20"/>
        </w:rPr>
      </w:pPr>
      <w:r>
        <w:rPr>
          <w:rFonts w:ascii="Calibri" w:eastAsia="Calibri" w:hAnsi="Calibri" w:cs="Calibri"/>
          <w:sz w:val="18"/>
          <w:szCs w:val="18"/>
        </w:rPr>
        <w:t>a jestliže vady jsou opravitelné,</w:t>
      </w:r>
    </w:p>
    <w:p w:rsidR="004F729E" w:rsidRDefault="004F729E" w:rsidP="004F729E">
      <w:pPr>
        <w:spacing w:line="90" w:lineRule="exact"/>
        <w:rPr>
          <w:sz w:val="20"/>
          <w:szCs w:val="20"/>
        </w:rPr>
      </w:pPr>
    </w:p>
    <w:p w:rsidR="004F729E" w:rsidRDefault="004F729E" w:rsidP="004F729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přiměřenou slevu z ceny předmětu plnění, nebo</w:t>
      </w:r>
    </w:p>
    <w:p w:rsidR="004F729E" w:rsidRDefault="004F729E" w:rsidP="004F729E">
      <w:pPr>
        <w:spacing w:line="92" w:lineRule="exact"/>
        <w:rPr>
          <w:rFonts w:ascii="Calibri" w:eastAsia="Calibri" w:hAnsi="Calibri" w:cs="Calibri"/>
          <w:sz w:val="18"/>
          <w:szCs w:val="18"/>
        </w:rPr>
      </w:pPr>
    </w:p>
    <w:p w:rsidR="004F729E" w:rsidRDefault="004F729E" w:rsidP="004F729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odstoupit od smlouvy.</w:t>
      </w:r>
    </w:p>
    <w:p w:rsidR="004F729E" w:rsidRDefault="004F729E" w:rsidP="004F729E">
      <w:pPr>
        <w:spacing w:line="133" w:lineRule="exact"/>
        <w:rPr>
          <w:sz w:val="20"/>
          <w:szCs w:val="20"/>
        </w:rPr>
      </w:pPr>
    </w:p>
    <w:p w:rsidR="004F729E" w:rsidRDefault="004F729E" w:rsidP="004F729E">
      <w:pPr>
        <w:spacing w:line="229" w:lineRule="auto"/>
        <w:ind w:left="794" w:right="20"/>
        <w:jc w:val="both"/>
        <w:rPr>
          <w:sz w:val="20"/>
          <w:szCs w:val="20"/>
        </w:rPr>
      </w:pPr>
      <w:r>
        <w:rPr>
          <w:rFonts w:ascii="Calibri" w:eastAsia="Calibri" w:hAnsi="Calibri" w:cs="Calibr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Default="004F729E" w:rsidP="004F729E">
      <w:pPr>
        <w:spacing w:line="134" w:lineRule="exact"/>
        <w:rPr>
          <w:sz w:val="20"/>
          <w:szCs w:val="20"/>
        </w:rPr>
      </w:pPr>
    </w:p>
    <w:p w:rsidR="004F729E" w:rsidRDefault="004F729E" w:rsidP="004F729E">
      <w:pPr>
        <w:spacing w:line="225" w:lineRule="auto"/>
        <w:ind w:left="794" w:hanging="431"/>
        <w:jc w:val="both"/>
        <w:rPr>
          <w:sz w:val="20"/>
          <w:szCs w:val="20"/>
        </w:rPr>
      </w:pPr>
      <w:r>
        <w:rPr>
          <w:rFonts w:ascii="Calibri" w:eastAsia="Calibri" w:hAnsi="Calibri" w:cs="Calibr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Default="004F729E" w:rsidP="004F729E">
      <w:pPr>
        <w:spacing w:line="133" w:lineRule="exact"/>
        <w:rPr>
          <w:sz w:val="20"/>
          <w:szCs w:val="20"/>
        </w:rPr>
      </w:pPr>
    </w:p>
    <w:p w:rsidR="004F729E" w:rsidRDefault="004F729E" w:rsidP="004F729E">
      <w:pPr>
        <w:spacing w:line="225" w:lineRule="auto"/>
        <w:ind w:left="794" w:hanging="431"/>
        <w:jc w:val="both"/>
        <w:rPr>
          <w:sz w:val="20"/>
          <w:szCs w:val="20"/>
        </w:rPr>
      </w:pPr>
      <w:r>
        <w:rPr>
          <w:rFonts w:ascii="Calibri" w:eastAsia="Calibri" w:hAnsi="Calibri" w:cs="Calibr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Default="004F729E" w:rsidP="004F729E">
      <w:pPr>
        <w:spacing w:line="134" w:lineRule="exact"/>
        <w:rPr>
          <w:sz w:val="20"/>
          <w:szCs w:val="20"/>
        </w:rPr>
      </w:pPr>
    </w:p>
    <w:p w:rsidR="004F729E" w:rsidRDefault="004F729E" w:rsidP="004F729E">
      <w:pPr>
        <w:spacing w:line="234" w:lineRule="auto"/>
        <w:ind w:left="794" w:hanging="441"/>
        <w:jc w:val="both"/>
        <w:rPr>
          <w:sz w:val="20"/>
          <w:szCs w:val="20"/>
        </w:rPr>
      </w:pPr>
      <w:r>
        <w:rPr>
          <w:rFonts w:ascii="Calibri" w:eastAsia="Calibri" w:hAnsi="Calibri" w:cs="Calibr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F729E" w:rsidRDefault="004F729E" w:rsidP="004F729E">
      <w:pPr>
        <w:spacing w:line="129" w:lineRule="exact"/>
        <w:rPr>
          <w:sz w:val="20"/>
          <w:szCs w:val="20"/>
        </w:rPr>
      </w:pPr>
    </w:p>
    <w:p w:rsidR="004F729E" w:rsidRDefault="004F729E" w:rsidP="004F729E">
      <w:pPr>
        <w:spacing w:line="222" w:lineRule="auto"/>
        <w:ind w:left="794" w:right="20" w:hanging="441"/>
        <w:jc w:val="both"/>
        <w:rPr>
          <w:sz w:val="20"/>
          <w:szCs w:val="20"/>
        </w:rPr>
      </w:pPr>
      <w:r>
        <w:rPr>
          <w:rFonts w:ascii="Calibri" w:eastAsia="Calibri" w:hAnsi="Calibri" w:cs="Calibr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F729E" w:rsidRDefault="004F729E" w:rsidP="004F729E">
      <w:pPr>
        <w:spacing w:line="131" w:lineRule="exact"/>
        <w:rPr>
          <w:sz w:val="20"/>
          <w:szCs w:val="20"/>
        </w:rPr>
      </w:pPr>
    </w:p>
    <w:p w:rsidR="004F729E" w:rsidRDefault="004F729E" w:rsidP="004F729E">
      <w:pPr>
        <w:spacing w:line="220" w:lineRule="auto"/>
        <w:ind w:left="794" w:hanging="441"/>
        <w:jc w:val="both"/>
        <w:rPr>
          <w:sz w:val="20"/>
          <w:szCs w:val="20"/>
        </w:rPr>
      </w:pPr>
      <w:r>
        <w:rPr>
          <w:rFonts w:ascii="Calibri" w:eastAsia="Calibri" w:hAnsi="Calibri" w:cs="Calibr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F729E" w:rsidRDefault="004F729E" w:rsidP="004F729E">
      <w:pPr>
        <w:spacing w:line="135" w:lineRule="exact"/>
        <w:rPr>
          <w:sz w:val="20"/>
          <w:szCs w:val="20"/>
        </w:rPr>
      </w:pPr>
    </w:p>
    <w:p w:rsidR="004F729E" w:rsidRDefault="004F729E" w:rsidP="004F729E">
      <w:pPr>
        <w:spacing w:line="220" w:lineRule="auto"/>
        <w:ind w:left="794" w:right="20" w:hanging="431"/>
        <w:jc w:val="both"/>
        <w:rPr>
          <w:sz w:val="20"/>
          <w:szCs w:val="20"/>
        </w:rPr>
      </w:pPr>
      <w:r>
        <w:rPr>
          <w:rFonts w:ascii="Calibri" w:eastAsia="Calibri" w:hAnsi="Calibri" w:cs="Calibri"/>
          <w:sz w:val="18"/>
          <w:szCs w:val="18"/>
        </w:rPr>
        <w:t>11.7. Promlčecí lhůta u nároků z vad se prodlužuje o období nacházející se mezi doručením oznámení o reklamaci vady a jejím odstraněním.</w:t>
      </w:r>
    </w:p>
    <w:p w:rsidR="004F729E" w:rsidRDefault="004F729E" w:rsidP="004F729E">
      <w:pPr>
        <w:spacing w:line="92" w:lineRule="exact"/>
        <w:rPr>
          <w:sz w:val="20"/>
          <w:szCs w:val="20"/>
        </w:rPr>
      </w:pPr>
    </w:p>
    <w:p w:rsidR="004F729E" w:rsidRDefault="004F729E" w:rsidP="004F729E">
      <w:pPr>
        <w:ind w:left="374"/>
        <w:rPr>
          <w:sz w:val="20"/>
          <w:szCs w:val="20"/>
        </w:rPr>
      </w:pPr>
      <w:r>
        <w:rPr>
          <w:rFonts w:ascii="Calibri" w:eastAsia="Calibri" w:hAnsi="Calibri" w:cs="Calibri"/>
          <w:sz w:val="18"/>
          <w:szCs w:val="18"/>
        </w:rPr>
        <w:t>11.8. Promlčecí lhůta je tři roky od data úplného dodání předmětu plnění.</w:t>
      </w:r>
    </w:p>
    <w:p w:rsidR="004F729E" w:rsidRDefault="004F729E" w:rsidP="004F729E">
      <w:pPr>
        <w:spacing w:line="399" w:lineRule="exact"/>
        <w:rPr>
          <w:sz w:val="20"/>
          <w:szCs w:val="20"/>
        </w:rPr>
      </w:pPr>
    </w:p>
    <w:p w:rsidR="004F729E" w:rsidRDefault="004F729E" w:rsidP="004F729E">
      <w:pPr>
        <w:numPr>
          <w:ilvl w:val="0"/>
          <w:numId w:val="1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Užívací práva</w:t>
      </w:r>
    </w:p>
    <w:p w:rsidR="004F729E" w:rsidRDefault="004F729E" w:rsidP="004F729E">
      <w:pPr>
        <w:spacing w:line="97" w:lineRule="exact"/>
        <w:rPr>
          <w:sz w:val="20"/>
          <w:szCs w:val="20"/>
        </w:rPr>
      </w:pPr>
    </w:p>
    <w:p w:rsidR="004F729E" w:rsidRDefault="004F729E" w:rsidP="004F729E">
      <w:pPr>
        <w:spacing w:line="252" w:lineRule="auto"/>
        <w:ind w:left="454" w:right="20"/>
        <w:jc w:val="both"/>
        <w:rPr>
          <w:sz w:val="20"/>
          <w:szCs w:val="20"/>
        </w:rPr>
      </w:pPr>
      <w:r>
        <w:rPr>
          <w:rFonts w:ascii="Calibri" w:eastAsia="Calibri" w:hAnsi="Calibri" w:cs="Calibr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4F729E" w:rsidRDefault="004F729E" w:rsidP="004F729E">
      <w:pPr>
        <w:spacing w:line="391" w:lineRule="exact"/>
        <w:rPr>
          <w:sz w:val="20"/>
          <w:szCs w:val="20"/>
        </w:rPr>
      </w:pPr>
    </w:p>
    <w:p w:rsidR="004F729E" w:rsidRDefault="004F729E" w:rsidP="004F729E">
      <w:pPr>
        <w:numPr>
          <w:ilvl w:val="0"/>
          <w:numId w:val="13"/>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Porušení práv duševního vlastnictví</w:t>
      </w:r>
    </w:p>
    <w:p w:rsidR="004F729E" w:rsidRDefault="004F729E" w:rsidP="004F729E">
      <w:pPr>
        <w:spacing w:line="131" w:lineRule="exact"/>
        <w:rPr>
          <w:sz w:val="20"/>
          <w:szCs w:val="20"/>
        </w:rPr>
      </w:pPr>
    </w:p>
    <w:p w:rsidR="004F729E" w:rsidRDefault="004F729E" w:rsidP="004F729E">
      <w:pPr>
        <w:spacing w:line="237" w:lineRule="auto"/>
        <w:ind w:left="794" w:right="20" w:hanging="438"/>
        <w:jc w:val="both"/>
        <w:rPr>
          <w:sz w:val="20"/>
          <w:szCs w:val="20"/>
        </w:rPr>
      </w:pPr>
      <w:r>
        <w:rPr>
          <w:rFonts w:ascii="Calibri" w:eastAsia="Calibri" w:hAnsi="Calibri" w:cs="Calibr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rsidR="004F729E" w:rsidRDefault="004F729E" w:rsidP="004F729E">
      <w:pPr>
        <w:spacing w:line="135" w:lineRule="exact"/>
        <w:rPr>
          <w:sz w:val="20"/>
          <w:szCs w:val="20"/>
        </w:rPr>
      </w:pPr>
    </w:p>
    <w:p w:rsidR="004F729E" w:rsidRDefault="004F729E" w:rsidP="004F729E">
      <w:pPr>
        <w:spacing w:line="250" w:lineRule="auto"/>
        <w:ind w:left="794" w:right="20" w:hanging="438"/>
        <w:jc w:val="both"/>
        <w:rPr>
          <w:sz w:val="20"/>
          <w:szCs w:val="20"/>
        </w:rPr>
      </w:pPr>
      <w:r>
        <w:rPr>
          <w:rFonts w:ascii="Calibri" w:eastAsia="Calibri" w:hAnsi="Calibri" w:cs="Calibr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F729E" w:rsidRDefault="004F729E" w:rsidP="004F729E">
      <w:pPr>
        <w:spacing w:line="362" w:lineRule="exact"/>
        <w:rPr>
          <w:sz w:val="20"/>
          <w:szCs w:val="20"/>
        </w:rPr>
      </w:pPr>
    </w:p>
    <w:p w:rsidR="004F729E" w:rsidRDefault="004F729E" w:rsidP="004F729E">
      <w:pPr>
        <w:numPr>
          <w:ilvl w:val="0"/>
          <w:numId w:val="14"/>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spolupráce společnosti E.ON</w:t>
      </w:r>
    </w:p>
    <w:p w:rsidR="004F729E" w:rsidRDefault="004F729E" w:rsidP="004F729E">
      <w:pPr>
        <w:spacing w:line="97" w:lineRule="exact"/>
        <w:rPr>
          <w:sz w:val="20"/>
          <w:szCs w:val="20"/>
        </w:rPr>
      </w:pPr>
    </w:p>
    <w:p w:rsidR="004F729E" w:rsidRDefault="004F729E" w:rsidP="004F729E">
      <w:pPr>
        <w:spacing w:line="229" w:lineRule="auto"/>
        <w:ind w:left="354" w:right="20"/>
        <w:jc w:val="both"/>
        <w:rPr>
          <w:sz w:val="20"/>
          <w:szCs w:val="20"/>
        </w:rPr>
      </w:pPr>
      <w:r>
        <w:rPr>
          <w:rFonts w:ascii="Calibri" w:eastAsia="Calibri" w:hAnsi="Calibri" w:cs="Calibri"/>
          <w:sz w:val="18"/>
          <w:szCs w:val="18"/>
        </w:rP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Default="004F729E" w:rsidP="004F729E">
      <w:pPr>
        <w:sectPr w:rsidR="004F729E">
          <w:pgSz w:w="11900" w:h="16838"/>
          <w:pgMar w:top="717" w:right="1006" w:bottom="91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15"/>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Odměna a platební podmínky</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15.1. Ceny uvedené ve smlouvě či v akceptované objednávce Odběratele jsou pevnými cenami včetně veškerých slev a příplatků.</w:t>
      </w:r>
    </w:p>
    <w:p w:rsidR="004F729E" w:rsidRDefault="004F729E" w:rsidP="004F729E">
      <w:pPr>
        <w:spacing w:line="16" w:lineRule="exact"/>
        <w:rPr>
          <w:sz w:val="20"/>
          <w:szCs w:val="20"/>
        </w:rPr>
      </w:pPr>
    </w:p>
    <w:p w:rsidR="004F729E" w:rsidRDefault="004F729E" w:rsidP="004F729E">
      <w:pPr>
        <w:ind w:left="794"/>
        <w:rPr>
          <w:sz w:val="20"/>
          <w:szCs w:val="20"/>
        </w:rPr>
      </w:pPr>
      <w:r>
        <w:rPr>
          <w:rFonts w:ascii="Calibri" w:eastAsia="Calibri" w:hAnsi="Calibri" w:cs="Calibri"/>
          <w:sz w:val="17"/>
          <w:szCs w:val="17"/>
        </w:rPr>
        <w:t>K uvedeným cenám bude dopočtena daň z přidané hodnoty v zákonné výši platné k datu uskutečněného zdanitelného plnění.</w:t>
      </w:r>
    </w:p>
    <w:p w:rsidR="004F729E" w:rsidRDefault="004F729E" w:rsidP="004F729E">
      <w:pPr>
        <w:spacing w:line="135" w:lineRule="exact"/>
        <w:rPr>
          <w:sz w:val="20"/>
          <w:szCs w:val="20"/>
        </w:rPr>
      </w:pPr>
    </w:p>
    <w:p w:rsidR="004F729E" w:rsidRDefault="004F729E" w:rsidP="004F729E">
      <w:pPr>
        <w:spacing w:line="229" w:lineRule="auto"/>
        <w:ind w:left="794" w:hanging="438"/>
        <w:jc w:val="both"/>
        <w:rPr>
          <w:sz w:val="20"/>
          <w:szCs w:val="20"/>
        </w:rPr>
      </w:pPr>
      <w:r>
        <w:rPr>
          <w:rFonts w:ascii="Calibri" w:eastAsia="Calibri" w:hAnsi="Calibri" w:cs="Calibr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Pr>
          <w:rFonts w:ascii="Calibri" w:eastAsia="Calibri" w:hAnsi="Calibri" w:cs="Calibri"/>
          <w:sz w:val="18"/>
          <w:szCs w:val="18"/>
        </w:rPr>
        <w:t>pdf</w:t>
      </w:r>
      <w:proofErr w:type="spellEnd"/>
      <w:r>
        <w:rPr>
          <w:rFonts w:ascii="Calibri" w:eastAsia="Calibri" w:hAnsi="Calibri" w:cs="Calibri"/>
          <w:sz w:val="18"/>
          <w:szCs w:val="18"/>
        </w:rPr>
        <w:t xml:space="preserve"> (velikost tohoto souboru nesmí přesáhnout 10 MB) na email, v souladu s příslušnými ustanoveními zákona č. 235/2004 Sb., o dani z přidané hodnoty.</w:t>
      </w:r>
    </w:p>
    <w:p w:rsidR="004F729E" w:rsidRDefault="004F729E" w:rsidP="004F729E">
      <w:pPr>
        <w:spacing w:line="134" w:lineRule="exact"/>
        <w:rPr>
          <w:sz w:val="20"/>
          <w:szCs w:val="20"/>
        </w:rPr>
      </w:pPr>
    </w:p>
    <w:p w:rsidR="004F729E" w:rsidRDefault="004F729E" w:rsidP="004F729E">
      <w:pPr>
        <w:spacing w:line="220" w:lineRule="auto"/>
        <w:ind w:left="794"/>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Energie, a.s.</w:t>
      </w:r>
      <w:r>
        <w:rPr>
          <w:rFonts w:ascii="Calibri" w:eastAsia="Calibri" w:hAnsi="Calibri" w:cs="Calibri"/>
          <w:sz w:val="18"/>
          <w:szCs w:val="18"/>
        </w:rPr>
        <w:t xml:space="preserve">: E.ON Energie Faktury, P. O. Box 01, Sazečská 9, 225 01 Praha; </w:t>
      </w:r>
      <w:hyperlink r:id="rId9">
        <w:r>
          <w:rPr>
            <w:rFonts w:ascii="Calibri" w:eastAsia="Calibri" w:hAnsi="Calibri" w:cs="Calibri"/>
            <w:color w:val="0563C1"/>
            <w:sz w:val="18"/>
            <w:szCs w:val="18"/>
            <w:u w:val="single"/>
          </w:rPr>
          <w:t>faktury-</w:t>
        </w:r>
      </w:hyperlink>
      <w:hyperlink r:id="rId10">
        <w:r>
          <w:rPr>
            <w:rFonts w:ascii="Calibri" w:eastAsia="Calibri" w:hAnsi="Calibri" w:cs="Calibri"/>
            <w:color w:val="0563C1"/>
            <w:sz w:val="18"/>
            <w:szCs w:val="18"/>
            <w:u w:val="single"/>
          </w:rPr>
          <w:t>eon.energie@eon.cz</w:t>
        </w:r>
        <w:r>
          <w:rPr>
            <w:rFonts w:ascii="Calibri" w:eastAsia="Calibri" w:hAnsi="Calibri" w:cs="Calibri"/>
            <w:color w:val="000000"/>
            <w:sz w:val="18"/>
            <w:szCs w:val="18"/>
          </w:rPr>
          <w:t>;</w:t>
        </w:r>
      </w:hyperlink>
    </w:p>
    <w:p w:rsidR="004F729E" w:rsidRDefault="004F729E" w:rsidP="004F729E">
      <w:pPr>
        <w:spacing w:line="135" w:lineRule="exact"/>
        <w:rPr>
          <w:sz w:val="20"/>
          <w:szCs w:val="20"/>
        </w:rPr>
      </w:pPr>
    </w:p>
    <w:p w:rsidR="004F729E" w:rsidRDefault="004F729E" w:rsidP="004F729E">
      <w:pPr>
        <w:spacing w:line="219" w:lineRule="auto"/>
        <w:ind w:left="794" w:right="20"/>
        <w:rPr>
          <w:rFonts w:ascii="Calibri" w:eastAsia="Calibri" w:hAnsi="Calibri" w:cs="Calibri"/>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Česká republika, s.r.o.</w:t>
      </w:r>
      <w:r>
        <w:rPr>
          <w:rFonts w:ascii="Calibri" w:eastAsia="Calibri" w:hAnsi="Calibri" w:cs="Calibri"/>
          <w:sz w:val="18"/>
          <w:szCs w:val="18"/>
        </w:rPr>
        <w:t xml:space="preserve">: E.ON Česká republika Faktury, P. O. Box 03, Sazečská 9, 225 03 Praha; </w:t>
      </w:r>
      <w:hyperlink r:id="rId11">
        <w:r>
          <w:rPr>
            <w:rFonts w:ascii="Calibri" w:eastAsia="Calibri" w:hAnsi="Calibri" w:cs="Calibri"/>
            <w:color w:val="0563C1"/>
            <w:sz w:val="18"/>
            <w:szCs w:val="18"/>
            <w:u w:val="single"/>
          </w:rPr>
          <w:t>faktury-eon.ceska.republika@eon.cz</w:t>
        </w:r>
        <w:r>
          <w:rPr>
            <w:rFonts w:ascii="Calibri" w:eastAsia="Calibri" w:hAnsi="Calibri" w:cs="Calibri"/>
            <w:sz w:val="18"/>
            <w:szCs w:val="18"/>
            <w:u w:val="single"/>
          </w:rPr>
          <w:t>;</w:t>
        </w:r>
      </w:hyperlink>
    </w:p>
    <w:p w:rsidR="004F729E" w:rsidRDefault="004F729E" w:rsidP="004F729E">
      <w:pPr>
        <w:spacing w:line="137" w:lineRule="exact"/>
        <w:rPr>
          <w:sz w:val="20"/>
          <w:szCs w:val="20"/>
        </w:rPr>
      </w:pPr>
    </w:p>
    <w:p w:rsidR="004F729E" w:rsidRDefault="004F729E" w:rsidP="004F729E">
      <w:pPr>
        <w:spacing w:line="134" w:lineRule="exact"/>
        <w:rPr>
          <w:sz w:val="20"/>
          <w:szCs w:val="20"/>
        </w:rPr>
      </w:pPr>
    </w:p>
    <w:p w:rsidR="004F729E" w:rsidRDefault="004F729E" w:rsidP="004F729E">
      <w:pPr>
        <w:spacing w:line="220" w:lineRule="auto"/>
        <w:ind w:left="794" w:right="20"/>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Jihočeská plynárenská, a.s.</w:t>
      </w:r>
      <w:r>
        <w:rPr>
          <w:rFonts w:ascii="Calibri" w:eastAsia="Calibri" w:hAnsi="Calibri" w:cs="Calibri"/>
          <w:sz w:val="18"/>
          <w:szCs w:val="18"/>
        </w:rPr>
        <w:t>: Jihočeská plynárenská Faktury, P. O. Box 11, Sazečská 9, 225 11 Praha;</w:t>
      </w:r>
    </w:p>
    <w:p w:rsidR="004F729E" w:rsidRDefault="004F729E" w:rsidP="004F729E">
      <w:pPr>
        <w:spacing w:line="135" w:lineRule="exact"/>
        <w:rPr>
          <w:sz w:val="20"/>
          <w:szCs w:val="20"/>
        </w:rPr>
      </w:pPr>
    </w:p>
    <w:p w:rsidR="004F729E" w:rsidRDefault="004F729E" w:rsidP="004F729E">
      <w:pPr>
        <w:spacing w:line="135" w:lineRule="exact"/>
        <w:rPr>
          <w:sz w:val="20"/>
          <w:szCs w:val="20"/>
        </w:rPr>
      </w:pPr>
    </w:p>
    <w:p w:rsidR="004F729E" w:rsidRDefault="004F729E" w:rsidP="004F729E">
      <w:pPr>
        <w:spacing w:line="220" w:lineRule="auto"/>
        <w:ind w:left="794" w:right="20"/>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Distribuce, a.s.</w:t>
      </w:r>
      <w:r>
        <w:rPr>
          <w:rFonts w:ascii="Calibri" w:eastAsia="Calibri" w:hAnsi="Calibri" w:cs="Calibri"/>
          <w:sz w:val="18"/>
          <w:szCs w:val="18"/>
        </w:rPr>
        <w:t xml:space="preserve">: E.ON Distribuce Faktury, P. O. Box 13, Sazečská 9, 225 13 Praha, </w:t>
      </w:r>
      <w:hyperlink r:id="rId12">
        <w:r>
          <w:rPr>
            <w:rFonts w:ascii="Calibri" w:eastAsia="Calibri" w:hAnsi="Calibri" w:cs="Calibri"/>
            <w:color w:val="0563C1"/>
            <w:sz w:val="18"/>
            <w:szCs w:val="18"/>
            <w:u w:val="single"/>
          </w:rPr>
          <w:t>faktury-eon.distribuce@eon.cz</w:t>
        </w:r>
        <w:r>
          <w:rPr>
            <w:rFonts w:ascii="Calibri" w:eastAsia="Calibri" w:hAnsi="Calibri" w:cs="Calibri"/>
            <w:color w:val="000000"/>
            <w:sz w:val="18"/>
            <w:szCs w:val="18"/>
          </w:rPr>
          <w:t>;</w:t>
        </w:r>
      </w:hyperlink>
    </w:p>
    <w:p w:rsidR="004F729E" w:rsidRDefault="004F729E" w:rsidP="004F729E">
      <w:pPr>
        <w:spacing w:line="135" w:lineRule="exact"/>
        <w:rPr>
          <w:sz w:val="20"/>
          <w:szCs w:val="20"/>
        </w:rPr>
      </w:pPr>
    </w:p>
    <w:p w:rsidR="004F729E" w:rsidRDefault="004F729E" w:rsidP="004F729E">
      <w:pPr>
        <w:spacing w:line="219" w:lineRule="auto"/>
        <w:ind w:left="794"/>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 xml:space="preserve">E.ON </w:t>
      </w:r>
      <w:proofErr w:type="spellStart"/>
      <w:r>
        <w:rPr>
          <w:rFonts w:ascii="Calibri" w:eastAsia="Calibri" w:hAnsi="Calibri" w:cs="Calibri"/>
          <w:b/>
          <w:bCs/>
          <w:sz w:val="18"/>
          <w:szCs w:val="18"/>
        </w:rPr>
        <w:t>Telco</w:t>
      </w:r>
      <w:proofErr w:type="spellEnd"/>
      <w:r>
        <w:rPr>
          <w:rFonts w:ascii="Calibri" w:eastAsia="Calibri" w:hAnsi="Calibri" w:cs="Calibri"/>
          <w:b/>
          <w:bCs/>
          <w:sz w:val="18"/>
          <w:szCs w:val="18"/>
        </w:rPr>
        <w:t>, s.r.o.</w:t>
      </w:r>
      <w:r>
        <w:rPr>
          <w:rFonts w:ascii="Calibri" w:eastAsia="Calibri" w:hAnsi="Calibri" w:cs="Calibri"/>
          <w:sz w:val="18"/>
          <w:szCs w:val="18"/>
        </w:rPr>
        <w:t xml:space="preserve">: E.ON </w:t>
      </w:r>
      <w:proofErr w:type="spellStart"/>
      <w:r>
        <w:rPr>
          <w:rFonts w:ascii="Calibri" w:eastAsia="Calibri" w:hAnsi="Calibri" w:cs="Calibri"/>
          <w:sz w:val="18"/>
          <w:szCs w:val="18"/>
        </w:rPr>
        <w:t>Telco</w:t>
      </w:r>
      <w:proofErr w:type="spellEnd"/>
      <w:r>
        <w:rPr>
          <w:rFonts w:ascii="Calibri" w:eastAsia="Calibri" w:hAnsi="Calibri" w:cs="Calibri"/>
          <w:sz w:val="18"/>
          <w:szCs w:val="18"/>
        </w:rPr>
        <w:t xml:space="preserve"> Faktury, P. O. Box 73, Sazečská 9, 225 73 Praha, </w:t>
      </w:r>
      <w:r>
        <w:rPr>
          <w:rFonts w:ascii="Calibri" w:eastAsia="Calibri" w:hAnsi="Calibri" w:cs="Calibri"/>
          <w:color w:val="0563C1"/>
          <w:sz w:val="18"/>
          <w:szCs w:val="18"/>
          <w:u w:val="single"/>
        </w:rPr>
        <w:t>faktury-telco@eon.cz</w:t>
      </w:r>
    </w:p>
    <w:p w:rsidR="004F729E" w:rsidRDefault="004F729E" w:rsidP="004F729E">
      <w:pPr>
        <w:spacing w:line="93" w:lineRule="exact"/>
        <w:rPr>
          <w:sz w:val="20"/>
          <w:szCs w:val="20"/>
        </w:rPr>
      </w:pPr>
    </w:p>
    <w:p w:rsidR="004F729E" w:rsidRDefault="004F729E" w:rsidP="004F729E">
      <w:pPr>
        <w:ind w:left="794"/>
        <w:rPr>
          <w:sz w:val="20"/>
          <w:szCs w:val="20"/>
        </w:rPr>
      </w:pPr>
      <w:r>
        <w:rPr>
          <w:rFonts w:ascii="Calibri" w:eastAsia="Calibri" w:hAnsi="Calibri" w:cs="Calibri"/>
          <w:sz w:val="18"/>
          <w:szCs w:val="18"/>
        </w:rPr>
        <w:t>nestanoví-li Odběratel jinak.</w:t>
      </w:r>
    </w:p>
    <w:p w:rsidR="004F729E" w:rsidRDefault="004F729E" w:rsidP="004F729E">
      <w:pPr>
        <w:spacing w:line="133" w:lineRule="exact"/>
        <w:rPr>
          <w:sz w:val="20"/>
          <w:szCs w:val="20"/>
        </w:rPr>
      </w:pPr>
    </w:p>
    <w:p w:rsidR="004F729E" w:rsidRDefault="004F729E" w:rsidP="004F729E">
      <w:pPr>
        <w:spacing w:line="239" w:lineRule="auto"/>
        <w:ind w:left="794" w:hanging="438"/>
        <w:jc w:val="both"/>
        <w:rPr>
          <w:sz w:val="20"/>
          <w:szCs w:val="20"/>
        </w:rPr>
      </w:pPr>
      <w:r>
        <w:rPr>
          <w:rFonts w:ascii="Calibri" w:eastAsia="Calibri" w:hAnsi="Calibri" w:cs="Calibr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F729E" w:rsidRDefault="004F729E" w:rsidP="004F729E">
      <w:pPr>
        <w:spacing w:line="111" w:lineRule="exact"/>
        <w:rPr>
          <w:sz w:val="20"/>
          <w:szCs w:val="20"/>
        </w:rPr>
      </w:pPr>
    </w:p>
    <w:p w:rsidR="004F729E" w:rsidRDefault="004F729E" w:rsidP="004F729E">
      <w:pPr>
        <w:numPr>
          <w:ilvl w:val="0"/>
          <w:numId w:val="16"/>
        </w:numPr>
        <w:tabs>
          <w:tab w:val="left" w:pos="894"/>
        </w:tabs>
        <w:ind w:left="894" w:hanging="95"/>
        <w:rPr>
          <w:rFonts w:ascii="Calibri" w:eastAsia="Calibri" w:hAnsi="Calibri" w:cs="Calibri"/>
          <w:sz w:val="17"/>
          <w:szCs w:val="17"/>
        </w:rPr>
      </w:pPr>
      <w:r>
        <w:rPr>
          <w:rFonts w:ascii="Calibri" w:eastAsia="Calibri" w:hAnsi="Calibri" w:cs="Calibri"/>
          <w:sz w:val="17"/>
          <w:szCs w:val="17"/>
        </w:rPr>
        <w:t>je-li celková cena plnění sjednaná smlouvou (bez DPH) nižší či rovna 275 tis. CZK, činí splatnost 30 dnů od data jejího doručení.</w:t>
      </w:r>
    </w:p>
    <w:p w:rsidR="004F729E" w:rsidRDefault="004F729E" w:rsidP="004F729E">
      <w:pPr>
        <w:spacing w:line="132" w:lineRule="exact"/>
        <w:rPr>
          <w:rFonts w:ascii="Calibri" w:eastAsia="Calibri" w:hAnsi="Calibri" w:cs="Calibri"/>
          <w:sz w:val="17"/>
          <w:szCs w:val="17"/>
        </w:rPr>
      </w:pPr>
    </w:p>
    <w:p w:rsidR="004F729E" w:rsidRDefault="004F729E" w:rsidP="004F729E">
      <w:pPr>
        <w:numPr>
          <w:ilvl w:val="0"/>
          <w:numId w:val="16"/>
        </w:numPr>
        <w:tabs>
          <w:tab w:val="left" w:pos="902"/>
        </w:tabs>
        <w:spacing w:line="219" w:lineRule="auto"/>
        <w:ind w:left="794" w:right="20" w:firstLine="5"/>
        <w:rPr>
          <w:rFonts w:ascii="Calibri" w:eastAsia="Calibri" w:hAnsi="Calibri" w:cs="Calibri"/>
          <w:sz w:val="18"/>
          <w:szCs w:val="18"/>
        </w:rPr>
      </w:pPr>
      <w:r>
        <w:rPr>
          <w:rFonts w:ascii="Calibri" w:eastAsia="Calibri" w:hAnsi="Calibri" w:cs="Calibri"/>
          <w:sz w:val="18"/>
          <w:szCs w:val="18"/>
        </w:rPr>
        <w:t>je-li celková cena plnění sjednaná smlouvou (bez DPH) vyšší než 275 tis. CZK, činí splatnost faktury 60 dnů od data jejího doručení.</w:t>
      </w:r>
    </w:p>
    <w:p w:rsidR="004F729E" w:rsidRDefault="004F729E" w:rsidP="004F729E">
      <w:pPr>
        <w:spacing w:line="137" w:lineRule="exact"/>
        <w:rPr>
          <w:sz w:val="20"/>
          <w:szCs w:val="20"/>
        </w:rPr>
      </w:pPr>
    </w:p>
    <w:p w:rsidR="004F729E" w:rsidRDefault="004F729E" w:rsidP="004F729E">
      <w:pPr>
        <w:spacing w:line="229" w:lineRule="auto"/>
        <w:ind w:left="794" w:right="20"/>
        <w:jc w:val="both"/>
        <w:rPr>
          <w:sz w:val="20"/>
          <w:szCs w:val="20"/>
        </w:rPr>
      </w:pPr>
      <w:r>
        <w:rPr>
          <w:rFonts w:ascii="Calibri" w:eastAsia="Calibri" w:hAnsi="Calibri" w:cs="Calibr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F729E" w:rsidRDefault="004F729E" w:rsidP="004F729E">
      <w:pPr>
        <w:spacing w:line="134" w:lineRule="exact"/>
        <w:rPr>
          <w:sz w:val="20"/>
          <w:szCs w:val="20"/>
        </w:rPr>
      </w:pPr>
    </w:p>
    <w:p w:rsidR="004F729E" w:rsidRDefault="004F729E" w:rsidP="004F729E">
      <w:pPr>
        <w:spacing w:line="220" w:lineRule="auto"/>
        <w:ind w:left="794" w:right="20"/>
        <w:jc w:val="both"/>
        <w:rPr>
          <w:sz w:val="20"/>
          <w:szCs w:val="20"/>
        </w:rPr>
      </w:pPr>
      <w:r>
        <w:rPr>
          <w:rFonts w:ascii="Calibri" w:eastAsia="Calibri" w:hAnsi="Calibri" w:cs="Calibri"/>
          <w:sz w:val="18"/>
          <w:szCs w:val="18"/>
        </w:rPr>
        <w:t>Datum uskutečněného zdanitelného plnění uvedené na faktuře musí být stanoveno v souladu se zákonem o dani z přidané hodnoty.</w:t>
      </w:r>
    </w:p>
    <w:p w:rsidR="004F729E" w:rsidRDefault="004F729E" w:rsidP="004F729E">
      <w:pPr>
        <w:spacing w:line="135" w:lineRule="exact"/>
        <w:rPr>
          <w:sz w:val="20"/>
          <w:szCs w:val="20"/>
        </w:rPr>
      </w:pPr>
    </w:p>
    <w:p w:rsidR="004F729E" w:rsidRDefault="004F729E" w:rsidP="004F729E">
      <w:pPr>
        <w:spacing w:line="229" w:lineRule="auto"/>
        <w:ind w:left="794" w:hanging="438"/>
        <w:jc w:val="both"/>
        <w:rPr>
          <w:sz w:val="20"/>
          <w:szCs w:val="20"/>
        </w:rPr>
      </w:pPr>
      <w:r>
        <w:rPr>
          <w:rFonts w:ascii="Calibri" w:eastAsia="Calibri" w:hAnsi="Calibri" w:cs="Calibr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F729E" w:rsidRDefault="004F729E" w:rsidP="004F729E">
      <w:pPr>
        <w:spacing w:line="134" w:lineRule="exact"/>
        <w:rPr>
          <w:sz w:val="20"/>
          <w:szCs w:val="20"/>
        </w:rPr>
      </w:pPr>
    </w:p>
    <w:p w:rsidR="004F729E" w:rsidRDefault="004F729E" w:rsidP="004F729E">
      <w:pPr>
        <w:spacing w:line="234" w:lineRule="auto"/>
        <w:ind w:left="794" w:right="20" w:hanging="438"/>
        <w:jc w:val="both"/>
        <w:rPr>
          <w:sz w:val="20"/>
          <w:szCs w:val="20"/>
        </w:rPr>
      </w:pPr>
      <w:r>
        <w:rPr>
          <w:rFonts w:ascii="Calibri" w:eastAsia="Calibri" w:hAnsi="Calibri" w:cs="Calibr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15.6. Dodavatel je odpovědný za veškeré důsledky vyplývající z nedodržení povinností uvedených v článcích 15.1. až 15.5.</w:t>
      </w:r>
    </w:p>
    <w:p w:rsidR="004F729E" w:rsidRDefault="004F729E" w:rsidP="004F729E">
      <w:pPr>
        <w:spacing w:line="131" w:lineRule="exact"/>
        <w:rPr>
          <w:sz w:val="20"/>
          <w:szCs w:val="20"/>
        </w:rPr>
      </w:pPr>
    </w:p>
    <w:p w:rsidR="004F729E" w:rsidRDefault="004F729E" w:rsidP="004F729E">
      <w:pPr>
        <w:spacing w:line="241" w:lineRule="auto"/>
        <w:ind w:left="794" w:right="20" w:hanging="441"/>
        <w:jc w:val="both"/>
        <w:rPr>
          <w:sz w:val="20"/>
          <w:szCs w:val="20"/>
        </w:rPr>
      </w:pPr>
      <w:r>
        <w:rPr>
          <w:rFonts w:ascii="Calibri" w:eastAsia="Calibri" w:hAnsi="Calibri" w:cs="Calibri"/>
          <w:sz w:val="18"/>
          <w:szCs w:val="18"/>
        </w:rPr>
        <w:t xml:space="preserve">15.7. Dodavatel v případě, že je plátcem DPH </w:t>
      </w:r>
      <w:r>
        <w:rPr>
          <w:rFonts w:ascii="Calibri" w:eastAsia="Calibri" w:hAnsi="Calibri" w:cs="Calibri"/>
          <w:b/>
          <w:bCs/>
          <w:sz w:val="18"/>
          <w:szCs w:val="18"/>
        </w:rPr>
        <w:t>a že jím poskytnuté zdanitelné plnění nepodléhá režimu přenesení daňové</w:t>
      </w:r>
      <w:r>
        <w:rPr>
          <w:rFonts w:ascii="Calibri" w:eastAsia="Calibri" w:hAnsi="Calibri" w:cs="Calibri"/>
          <w:sz w:val="18"/>
          <w:szCs w:val="18"/>
        </w:rPr>
        <w:t xml:space="preserve"> </w:t>
      </w:r>
      <w:r>
        <w:rPr>
          <w:rFonts w:ascii="Calibri" w:eastAsia="Calibri" w:hAnsi="Calibri" w:cs="Calibri"/>
          <w:b/>
          <w:bCs/>
          <w:sz w:val="18"/>
          <w:szCs w:val="18"/>
        </w:rPr>
        <w:t xml:space="preserve">povinnosti, </w:t>
      </w:r>
      <w:r>
        <w:rPr>
          <w:rFonts w:ascii="Calibri" w:eastAsia="Calibri" w:hAnsi="Calibri" w:cs="Calibri"/>
          <w:sz w:val="18"/>
          <w:szCs w:val="18"/>
        </w:rPr>
        <w:t>se jako poskytovatel tohoto plnění zavazuje, že povinnosti plynoucí mu ze zákona č. 235/2004 Sb., o dani z přidané</w:t>
      </w:r>
      <w:r>
        <w:rPr>
          <w:rFonts w:ascii="Calibri" w:eastAsia="Calibri" w:hAnsi="Calibri" w:cs="Calibri"/>
          <w:b/>
          <w:bCs/>
          <w:sz w:val="18"/>
          <w:szCs w:val="18"/>
        </w:rPr>
        <w:t xml:space="preserve"> </w:t>
      </w:r>
      <w:r>
        <w:rPr>
          <w:rFonts w:ascii="Calibri" w:eastAsia="Calibri" w:hAnsi="Calibri" w:cs="Calibr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F729E" w:rsidRDefault="004F729E" w:rsidP="004F729E">
      <w:pPr>
        <w:sectPr w:rsidR="004F729E">
          <w:pgSz w:w="11900" w:h="16838"/>
          <w:pgMar w:top="717" w:right="1006" w:bottom="873"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9" w:lineRule="auto"/>
        <w:ind w:left="794" w:right="20" w:hanging="438"/>
        <w:jc w:val="both"/>
        <w:rPr>
          <w:sz w:val="20"/>
          <w:szCs w:val="20"/>
        </w:rPr>
      </w:pPr>
      <w:r>
        <w:rPr>
          <w:rFonts w:ascii="Calibri" w:eastAsia="Calibri" w:hAnsi="Calibri" w:cs="Calibr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F729E" w:rsidRDefault="004F729E" w:rsidP="004F729E">
      <w:pPr>
        <w:spacing w:line="93" w:lineRule="exact"/>
        <w:rPr>
          <w:sz w:val="20"/>
          <w:szCs w:val="20"/>
        </w:rPr>
      </w:pPr>
    </w:p>
    <w:p w:rsidR="004F729E" w:rsidRDefault="004F729E" w:rsidP="004F729E">
      <w:pPr>
        <w:ind w:left="354"/>
        <w:rPr>
          <w:sz w:val="20"/>
          <w:szCs w:val="20"/>
        </w:rPr>
      </w:pPr>
      <w:r>
        <w:rPr>
          <w:rFonts w:ascii="Calibri" w:eastAsia="Calibri" w:hAnsi="Calibri" w:cs="Calibri"/>
          <w:sz w:val="18"/>
          <w:szCs w:val="18"/>
        </w:rPr>
        <w:t>15.9. Platby společnosti E.ON se nepovažují za potvrzení, schválení plnění, ani vzdání se oznámení vady.</w:t>
      </w:r>
    </w:p>
    <w:p w:rsidR="004F729E" w:rsidRDefault="004F729E" w:rsidP="004F729E">
      <w:pPr>
        <w:spacing w:line="399" w:lineRule="exact"/>
        <w:rPr>
          <w:sz w:val="20"/>
          <w:szCs w:val="20"/>
        </w:rPr>
      </w:pPr>
    </w:p>
    <w:p w:rsidR="004F729E" w:rsidRDefault="004F729E" w:rsidP="004F729E">
      <w:pPr>
        <w:numPr>
          <w:ilvl w:val="0"/>
          <w:numId w:val="1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Poddodavatelé</w:t>
      </w:r>
    </w:p>
    <w:p w:rsidR="004F729E" w:rsidRDefault="004F729E" w:rsidP="004F729E">
      <w:pPr>
        <w:spacing w:line="133" w:lineRule="exact"/>
        <w:rPr>
          <w:sz w:val="20"/>
          <w:szCs w:val="20"/>
        </w:rPr>
      </w:pPr>
    </w:p>
    <w:p w:rsidR="004F729E" w:rsidRDefault="004F729E" w:rsidP="004F729E">
      <w:pPr>
        <w:spacing w:line="234" w:lineRule="auto"/>
        <w:ind w:left="814" w:right="20" w:hanging="438"/>
        <w:jc w:val="both"/>
        <w:rPr>
          <w:sz w:val="20"/>
          <w:szCs w:val="20"/>
        </w:rPr>
      </w:pPr>
      <w:r>
        <w:rPr>
          <w:rFonts w:ascii="Calibri" w:eastAsia="Calibri" w:hAnsi="Calibri" w:cs="Calibr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F729E" w:rsidRDefault="004F729E" w:rsidP="004F729E">
      <w:pPr>
        <w:spacing w:line="134" w:lineRule="exact"/>
        <w:rPr>
          <w:sz w:val="20"/>
          <w:szCs w:val="20"/>
        </w:rPr>
      </w:pPr>
    </w:p>
    <w:p w:rsidR="004F729E" w:rsidRDefault="004F729E" w:rsidP="004F729E">
      <w:pPr>
        <w:spacing w:line="238" w:lineRule="auto"/>
        <w:ind w:left="814" w:hanging="438"/>
        <w:jc w:val="both"/>
        <w:rPr>
          <w:sz w:val="20"/>
          <w:szCs w:val="20"/>
        </w:rPr>
      </w:pPr>
      <w:r>
        <w:rPr>
          <w:rFonts w:ascii="Calibri" w:eastAsia="Calibri" w:hAnsi="Calibri" w:cs="Calibr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F729E" w:rsidRDefault="004F729E" w:rsidP="004F729E">
      <w:pPr>
        <w:spacing w:line="138" w:lineRule="exact"/>
        <w:rPr>
          <w:sz w:val="20"/>
          <w:szCs w:val="20"/>
        </w:rPr>
      </w:pPr>
    </w:p>
    <w:p w:rsidR="004F729E" w:rsidRDefault="004F729E" w:rsidP="004F729E">
      <w:pPr>
        <w:spacing w:line="238" w:lineRule="auto"/>
        <w:ind w:left="794" w:right="20" w:hanging="438"/>
        <w:jc w:val="both"/>
        <w:rPr>
          <w:sz w:val="20"/>
          <w:szCs w:val="20"/>
        </w:rPr>
      </w:pPr>
      <w:r>
        <w:rPr>
          <w:rFonts w:ascii="Calibri" w:eastAsia="Calibri" w:hAnsi="Calibri" w:cs="Calibr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F729E" w:rsidRDefault="004F729E" w:rsidP="004F729E">
      <w:pPr>
        <w:spacing w:line="111" w:lineRule="exact"/>
        <w:rPr>
          <w:sz w:val="20"/>
          <w:szCs w:val="20"/>
        </w:rPr>
      </w:pPr>
    </w:p>
    <w:p w:rsidR="004F729E" w:rsidRDefault="004F729E" w:rsidP="004F729E">
      <w:pPr>
        <w:spacing w:line="241" w:lineRule="auto"/>
        <w:ind w:left="814" w:hanging="438"/>
        <w:jc w:val="both"/>
        <w:rPr>
          <w:sz w:val="20"/>
          <w:szCs w:val="20"/>
        </w:rPr>
      </w:pPr>
      <w:r>
        <w:rPr>
          <w:rFonts w:ascii="Calibri" w:eastAsia="Calibri" w:hAnsi="Calibri" w:cs="Calibri"/>
          <w:sz w:val="18"/>
          <w:szCs w:val="18"/>
        </w:rPr>
        <w:t>16.4</w:t>
      </w:r>
      <w:r>
        <w:rPr>
          <w:rFonts w:ascii="Arial" w:eastAsia="Arial" w:hAnsi="Arial" w:cs="Arial"/>
          <w:sz w:val="18"/>
          <w:szCs w:val="18"/>
        </w:rPr>
        <w:t>.</w:t>
      </w:r>
      <w:r>
        <w:rPr>
          <w:rFonts w:ascii="Calibri" w:eastAsia="Calibri" w:hAnsi="Calibri" w:cs="Calibr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F729E" w:rsidRDefault="004F729E" w:rsidP="004F729E">
      <w:pPr>
        <w:spacing w:line="135"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F729E" w:rsidRDefault="004F729E" w:rsidP="004F729E">
      <w:pPr>
        <w:spacing w:line="135" w:lineRule="exact"/>
        <w:rPr>
          <w:sz w:val="20"/>
          <w:szCs w:val="20"/>
        </w:rPr>
      </w:pPr>
    </w:p>
    <w:p w:rsidR="004F729E" w:rsidRDefault="004F729E" w:rsidP="004F729E">
      <w:pPr>
        <w:spacing w:line="230" w:lineRule="auto"/>
        <w:ind w:left="794" w:right="20" w:hanging="438"/>
        <w:jc w:val="both"/>
        <w:rPr>
          <w:sz w:val="20"/>
          <w:szCs w:val="20"/>
        </w:rPr>
      </w:pPr>
      <w:r>
        <w:rPr>
          <w:rFonts w:ascii="Calibri" w:eastAsia="Calibri" w:hAnsi="Calibri" w:cs="Calibr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Default="004F729E" w:rsidP="004F729E">
      <w:pPr>
        <w:spacing w:line="364" w:lineRule="exact"/>
        <w:rPr>
          <w:sz w:val="20"/>
          <w:szCs w:val="20"/>
        </w:rPr>
      </w:pPr>
    </w:p>
    <w:p w:rsidR="004F729E" w:rsidRDefault="004F729E" w:rsidP="004F729E">
      <w:pPr>
        <w:numPr>
          <w:ilvl w:val="0"/>
          <w:numId w:val="1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Pojištění</w:t>
      </w:r>
    </w:p>
    <w:p w:rsidR="004F729E" w:rsidRDefault="004F729E" w:rsidP="004F729E">
      <w:pPr>
        <w:spacing w:line="97" w:lineRule="exact"/>
        <w:rPr>
          <w:sz w:val="20"/>
          <w:szCs w:val="20"/>
        </w:rPr>
      </w:pPr>
    </w:p>
    <w:p w:rsidR="004F729E" w:rsidRDefault="004F729E" w:rsidP="004F729E">
      <w:pPr>
        <w:spacing w:line="241" w:lineRule="auto"/>
        <w:ind w:left="374"/>
        <w:jc w:val="both"/>
        <w:rPr>
          <w:sz w:val="20"/>
          <w:szCs w:val="20"/>
        </w:rPr>
      </w:pPr>
      <w:r>
        <w:rPr>
          <w:rFonts w:ascii="Calibri" w:eastAsia="Calibri" w:hAnsi="Calibri" w:cs="Calibr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Default="004F729E" w:rsidP="004F729E">
      <w:pPr>
        <w:spacing w:line="371" w:lineRule="exact"/>
        <w:rPr>
          <w:sz w:val="20"/>
          <w:szCs w:val="20"/>
        </w:rPr>
      </w:pPr>
    </w:p>
    <w:p w:rsidR="004F729E" w:rsidRDefault="004F729E" w:rsidP="004F729E">
      <w:pPr>
        <w:numPr>
          <w:ilvl w:val="0"/>
          <w:numId w:val="19"/>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Postoupení práv a povinností, Zadržovací právo</w:t>
      </w:r>
    </w:p>
    <w:p w:rsidR="004F729E" w:rsidRDefault="004F729E" w:rsidP="004F729E">
      <w:pPr>
        <w:spacing w:line="134"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F729E" w:rsidRDefault="004F729E" w:rsidP="004F729E">
      <w:pPr>
        <w:spacing w:line="134" w:lineRule="exact"/>
        <w:rPr>
          <w:sz w:val="20"/>
          <w:szCs w:val="20"/>
        </w:rPr>
      </w:pPr>
    </w:p>
    <w:p w:rsidR="004F729E" w:rsidRDefault="004F729E" w:rsidP="004F729E">
      <w:pPr>
        <w:spacing w:line="230" w:lineRule="auto"/>
        <w:ind w:left="794" w:hanging="438"/>
        <w:jc w:val="both"/>
        <w:rPr>
          <w:sz w:val="20"/>
          <w:szCs w:val="20"/>
        </w:rPr>
      </w:pPr>
      <w:r>
        <w:rPr>
          <w:rFonts w:ascii="Calibri" w:eastAsia="Calibri" w:hAnsi="Calibri" w:cs="Calibri"/>
          <w:sz w:val="18"/>
          <w:szCs w:val="18"/>
        </w:rPr>
        <w:lastRenderedPageBreak/>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20"/>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Doba trvání a ukončení platnosti Smlouvy</w:t>
      </w:r>
    </w:p>
    <w:p w:rsidR="004F729E" w:rsidRDefault="004F729E" w:rsidP="004F729E">
      <w:pPr>
        <w:spacing w:line="133" w:lineRule="exact"/>
        <w:rPr>
          <w:sz w:val="20"/>
          <w:szCs w:val="20"/>
        </w:rPr>
      </w:pPr>
    </w:p>
    <w:p w:rsidR="004F729E" w:rsidRDefault="004F729E" w:rsidP="004F729E">
      <w:pPr>
        <w:spacing w:line="219" w:lineRule="auto"/>
        <w:ind w:left="814" w:right="20" w:hanging="438"/>
        <w:jc w:val="both"/>
        <w:rPr>
          <w:sz w:val="20"/>
          <w:szCs w:val="20"/>
        </w:rPr>
      </w:pPr>
      <w:r>
        <w:rPr>
          <w:rFonts w:ascii="Calibri" w:eastAsia="Calibri" w:hAnsi="Calibri" w:cs="Calibri"/>
          <w:sz w:val="18"/>
          <w:szCs w:val="18"/>
        </w:rPr>
        <w:t>19.1. Doba trvání Smlouvy a veškerá ustanovení týkající se řádného ukončení platnosti Smlouvy jsou upraveny v příslušné Smlouvě či objednávce.</w:t>
      </w:r>
    </w:p>
    <w:p w:rsidR="004F729E" w:rsidRDefault="004F729E" w:rsidP="004F729E">
      <w:pPr>
        <w:spacing w:line="137" w:lineRule="exact"/>
        <w:rPr>
          <w:sz w:val="20"/>
          <w:szCs w:val="20"/>
        </w:rPr>
      </w:pPr>
    </w:p>
    <w:p w:rsidR="004F729E" w:rsidRDefault="004F729E" w:rsidP="004F729E">
      <w:pPr>
        <w:spacing w:line="233" w:lineRule="auto"/>
        <w:ind w:left="814" w:right="20" w:hanging="438"/>
        <w:jc w:val="both"/>
        <w:rPr>
          <w:sz w:val="20"/>
          <w:szCs w:val="20"/>
        </w:rPr>
      </w:pPr>
      <w:r>
        <w:rPr>
          <w:rFonts w:ascii="Calibri" w:eastAsia="Calibri" w:hAnsi="Calibri" w:cs="Calibri"/>
          <w:sz w:val="18"/>
          <w:szCs w:val="18"/>
        </w:rPr>
        <w:t xml:space="preserve">19.2. Až do zhotovení díla může Odběratel od smlouvy odstoupit i bez udání </w:t>
      </w:r>
      <w:proofErr w:type="gramStart"/>
      <w:r>
        <w:rPr>
          <w:rFonts w:ascii="Calibri" w:eastAsia="Calibri" w:hAnsi="Calibri" w:cs="Calibri"/>
          <w:sz w:val="18"/>
          <w:szCs w:val="18"/>
        </w:rPr>
        <w:t>důvodu</w:t>
      </w:r>
      <w:proofErr w:type="gramEnd"/>
      <w:r>
        <w:rPr>
          <w:rFonts w:ascii="Calibri" w:eastAsia="Calibri" w:hAnsi="Calibri" w:cs="Calibr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Default="004F729E" w:rsidP="004F729E">
      <w:pPr>
        <w:spacing w:line="138" w:lineRule="exact"/>
        <w:rPr>
          <w:sz w:val="20"/>
          <w:szCs w:val="20"/>
        </w:rPr>
      </w:pPr>
    </w:p>
    <w:p w:rsidR="004F729E" w:rsidRDefault="004F729E" w:rsidP="004F729E">
      <w:pPr>
        <w:spacing w:line="229" w:lineRule="auto"/>
        <w:ind w:left="814" w:hanging="438"/>
        <w:jc w:val="both"/>
        <w:rPr>
          <w:sz w:val="20"/>
          <w:szCs w:val="20"/>
        </w:rPr>
      </w:pPr>
      <w:r>
        <w:rPr>
          <w:rFonts w:ascii="Calibri" w:eastAsia="Calibri" w:hAnsi="Calibri" w:cs="Calibr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F729E" w:rsidRDefault="004F729E" w:rsidP="004F729E">
      <w:pPr>
        <w:spacing w:line="134" w:lineRule="exact"/>
        <w:rPr>
          <w:sz w:val="20"/>
          <w:szCs w:val="20"/>
        </w:rPr>
      </w:pPr>
    </w:p>
    <w:p w:rsidR="004F729E" w:rsidRDefault="004F729E" w:rsidP="004F729E">
      <w:pPr>
        <w:numPr>
          <w:ilvl w:val="0"/>
          <w:numId w:val="21"/>
        </w:numPr>
        <w:tabs>
          <w:tab w:val="left" w:pos="1454"/>
        </w:tabs>
        <w:spacing w:line="220" w:lineRule="auto"/>
        <w:ind w:left="1454" w:right="20" w:hanging="360"/>
        <w:rPr>
          <w:rFonts w:ascii="Calibri" w:eastAsia="Calibri" w:hAnsi="Calibri" w:cs="Calibri"/>
          <w:sz w:val="18"/>
          <w:szCs w:val="18"/>
        </w:rPr>
      </w:pPr>
      <w:r>
        <w:rPr>
          <w:rFonts w:ascii="Calibri" w:eastAsia="Calibri" w:hAnsi="Calibri" w:cs="Calibri"/>
          <w:sz w:val="18"/>
          <w:szCs w:val="18"/>
        </w:rPr>
        <w:t>Poskytovatel je více jak 30 kalendářních dní v prodlení s plněním jakéhokoli termínu realizace předmětu plnění smlouvy.</w:t>
      </w:r>
    </w:p>
    <w:p w:rsidR="004F729E" w:rsidRDefault="004F729E" w:rsidP="004F729E">
      <w:pPr>
        <w:spacing w:line="134" w:lineRule="exact"/>
        <w:rPr>
          <w:rFonts w:ascii="Calibri" w:eastAsia="Calibri" w:hAnsi="Calibri" w:cs="Calibri"/>
          <w:sz w:val="18"/>
          <w:szCs w:val="18"/>
        </w:rPr>
      </w:pPr>
    </w:p>
    <w:p w:rsidR="004F729E" w:rsidRDefault="004F729E" w:rsidP="004F729E">
      <w:pPr>
        <w:numPr>
          <w:ilvl w:val="0"/>
          <w:numId w:val="21"/>
        </w:numPr>
        <w:tabs>
          <w:tab w:val="left" w:pos="1454"/>
        </w:tabs>
        <w:spacing w:line="219" w:lineRule="auto"/>
        <w:ind w:left="1454" w:right="20" w:hanging="360"/>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předepsaný technologický postup či veřejnoprávní předpis.</w:t>
      </w:r>
    </w:p>
    <w:p w:rsidR="004F729E" w:rsidRDefault="004F729E" w:rsidP="004F729E">
      <w:pPr>
        <w:spacing w:line="134" w:lineRule="exact"/>
        <w:rPr>
          <w:rFonts w:ascii="Calibri" w:eastAsia="Calibri" w:hAnsi="Calibri" w:cs="Calibri"/>
          <w:sz w:val="18"/>
          <w:szCs w:val="18"/>
        </w:rPr>
      </w:pPr>
    </w:p>
    <w:p w:rsidR="004F729E" w:rsidRDefault="004F729E" w:rsidP="004F729E">
      <w:pPr>
        <w:numPr>
          <w:ilvl w:val="0"/>
          <w:numId w:val="21"/>
        </w:numPr>
        <w:tabs>
          <w:tab w:val="left" w:pos="1454"/>
        </w:tabs>
        <w:spacing w:line="222" w:lineRule="auto"/>
        <w:ind w:left="1454" w:right="20" w:hanging="362"/>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svoji povinnost v oblasti bezpečnosti a ochrany zdraví při práci.</w:t>
      </w:r>
    </w:p>
    <w:p w:rsidR="004F729E" w:rsidRDefault="004F729E" w:rsidP="004F729E">
      <w:pPr>
        <w:spacing w:line="87" w:lineRule="exact"/>
        <w:rPr>
          <w:rFonts w:ascii="Calibri" w:eastAsia="Calibri" w:hAnsi="Calibri" w:cs="Calibri"/>
          <w:sz w:val="18"/>
          <w:szCs w:val="18"/>
        </w:rPr>
      </w:pPr>
    </w:p>
    <w:p w:rsidR="004F729E" w:rsidRDefault="004F729E" w:rsidP="004F729E">
      <w:pPr>
        <w:numPr>
          <w:ilvl w:val="0"/>
          <w:numId w:val="21"/>
        </w:numPr>
        <w:tabs>
          <w:tab w:val="left" w:pos="1454"/>
        </w:tabs>
        <w:ind w:left="1454" w:hanging="360"/>
        <w:rPr>
          <w:rFonts w:ascii="Calibri" w:eastAsia="Calibri" w:hAnsi="Calibri" w:cs="Calibri"/>
          <w:sz w:val="18"/>
          <w:szCs w:val="18"/>
        </w:rPr>
      </w:pPr>
      <w:r>
        <w:rPr>
          <w:rFonts w:ascii="Calibri" w:eastAsia="Calibri" w:hAnsi="Calibri" w:cs="Calibri"/>
          <w:sz w:val="18"/>
          <w:szCs w:val="18"/>
        </w:rPr>
        <w:t>Plnění podle Smlouvy nelze převzít z důvodů na straně Poskytovatele.</w:t>
      </w:r>
    </w:p>
    <w:p w:rsidR="004F729E" w:rsidRDefault="004F729E" w:rsidP="004F729E">
      <w:pPr>
        <w:spacing w:line="133" w:lineRule="exact"/>
        <w:rPr>
          <w:rFonts w:ascii="Calibri" w:eastAsia="Calibri" w:hAnsi="Calibri" w:cs="Calibri"/>
          <w:sz w:val="18"/>
          <w:szCs w:val="18"/>
        </w:rPr>
      </w:pPr>
    </w:p>
    <w:p w:rsidR="004F729E" w:rsidRDefault="004F729E" w:rsidP="004F729E">
      <w:pPr>
        <w:numPr>
          <w:ilvl w:val="0"/>
          <w:numId w:val="21"/>
        </w:numPr>
        <w:tabs>
          <w:tab w:val="left" w:pos="1454"/>
        </w:tabs>
        <w:spacing w:line="219" w:lineRule="auto"/>
        <w:ind w:left="1454" w:hanging="360"/>
        <w:rPr>
          <w:rFonts w:ascii="Calibri" w:eastAsia="Calibri" w:hAnsi="Calibri" w:cs="Calibri"/>
          <w:sz w:val="18"/>
          <w:szCs w:val="18"/>
        </w:rPr>
      </w:pPr>
      <w:r>
        <w:rPr>
          <w:rFonts w:ascii="Calibri" w:eastAsia="Calibri" w:hAnsi="Calibri" w:cs="Calibri"/>
          <w:sz w:val="18"/>
          <w:szCs w:val="18"/>
        </w:rPr>
        <w:t>Poskytovatel nesplní své povinnosti stanovené v článku 23 v přiměřené lhůtě nebo úmyslně či z hrubé nedbalosti poruší ustanovení o ochraně údajů.</w:t>
      </w:r>
    </w:p>
    <w:p w:rsidR="004F729E" w:rsidRDefault="004F729E" w:rsidP="004F729E">
      <w:pPr>
        <w:spacing w:line="137" w:lineRule="exact"/>
        <w:rPr>
          <w:sz w:val="20"/>
          <w:szCs w:val="20"/>
        </w:rPr>
      </w:pPr>
    </w:p>
    <w:p w:rsidR="004F729E" w:rsidRDefault="004F729E" w:rsidP="004F729E">
      <w:pPr>
        <w:spacing w:line="219" w:lineRule="auto"/>
        <w:ind w:left="814" w:right="20"/>
        <w:rPr>
          <w:sz w:val="20"/>
          <w:szCs w:val="20"/>
        </w:rPr>
      </w:pPr>
      <w:r>
        <w:rPr>
          <w:rFonts w:ascii="Calibri" w:eastAsia="Calibri" w:hAnsi="Calibri" w:cs="Calibr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F729E" w:rsidRDefault="004F729E" w:rsidP="004F729E">
      <w:pPr>
        <w:spacing w:line="134" w:lineRule="exact"/>
        <w:rPr>
          <w:sz w:val="20"/>
          <w:szCs w:val="20"/>
        </w:rPr>
      </w:pPr>
    </w:p>
    <w:p w:rsidR="004F729E" w:rsidRDefault="004F729E" w:rsidP="004F729E">
      <w:pPr>
        <w:spacing w:line="245" w:lineRule="auto"/>
        <w:ind w:left="814" w:right="20" w:hanging="438"/>
        <w:jc w:val="both"/>
        <w:rPr>
          <w:sz w:val="20"/>
          <w:szCs w:val="20"/>
        </w:rPr>
      </w:pPr>
      <w:r>
        <w:rPr>
          <w:rFonts w:ascii="Calibri" w:eastAsia="Calibri" w:hAnsi="Calibri" w:cs="Calibri"/>
          <w:sz w:val="17"/>
          <w:szCs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F729E" w:rsidRDefault="004F729E" w:rsidP="004F729E">
      <w:pPr>
        <w:spacing w:line="89" w:lineRule="exact"/>
        <w:rPr>
          <w:sz w:val="20"/>
          <w:szCs w:val="20"/>
        </w:rPr>
      </w:pPr>
    </w:p>
    <w:p w:rsidR="004F729E" w:rsidRDefault="004F729E" w:rsidP="004F729E">
      <w:pPr>
        <w:numPr>
          <w:ilvl w:val="0"/>
          <w:numId w:val="22"/>
        </w:numPr>
        <w:tabs>
          <w:tab w:val="left" w:pos="1534"/>
        </w:tabs>
        <w:ind w:left="1534" w:hanging="358"/>
        <w:rPr>
          <w:rFonts w:ascii="Calibri" w:eastAsia="Calibri" w:hAnsi="Calibri" w:cs="Calibri"/>
          <w:sz w:val="18"/>
          <w:szCs w:val="18"/>
        </w:rPr>
      </w:pPr>
      <w:r>
        <w:rPr>
          <w:rFonts w:ascii="Calibri" w:eastAsia="Calibri" w:hAnsi="Calibri" w:cs="Calibri"/>
          <w:sz w:val="18"/>
          <w:szCs w:val="18"/>
        </w:rPr>
        <w:t>tak, jak je stanoví zák.č.89/2012 Sb., občanského zákoníku, zejména ve svém ustanovení § 2001 a násl., nebo zda</w:t>
      </w:r>
    </w:p>
    <w:p w:rsidR="004F729E" w:rsidRDefault="004F729E" w:rsidP="004F729E">
      <w:pPr>
        <w:spacing w:line="130" w:lineRule="exact"/>
        <w:rPr>
          <w:rFonts w:ascii="Calibri" w:eastAsia="Calibri" w:hAnsi="Calibri" w:cs="Calibri"/>
          <w:sz w:val="18"/>
          <w:szCs w:val="18"/>
        </w:rPr>
      </w:pPr>
    </w:p>
    <w:p w:rsidR="004F729E" w:rsidRDefault="004F729E" w:rsidP="004F729E">
      <w:pPr>
        <w:numPr>
          <w:ilvl w:val="0"/>
          <w:numId w:val="22"/>
        </w:numPr>
        <w:tabs>
          <w:tab w:val="left" w:pos="1534"/>
        </w:tabs>
        <w:spacing w:line="219" w:lineRule="auto"/>
        <w:ind w:left="1534" w:right="20" w:hanging="360"/>
        <w:rPr>
          <w:rFonts w:ascii="Calibri" w:eastAsia="Calibri" w:hAnsi="Calibri" w:cs="Calibri"/>
          <w:sz w:val="18"/>
          <w:szCs w:val="18"/>
        </w:rPr>
      </w:pPr>
      <w:r>
        <w:rPr>
          <w:rFonts w:ascii="Calibri" w:eastAsia="Calibri" w:hAnsi="Calibri" w:cs="Calibri"/>
          <w:sz w:val="18"/>
          <w:szCs w:val="18"/>
        </w:rPr>
        <w:t>bude Poskytovatel po obdržení oznámení o odstoupení povinen buď okamžitě, nebo k datu stanovenému v oznámení o odstoupení splnit povinnosti uvedené v odstavci 19.5. těchto VNP.</w:t>
      </w:r>
    </w:p>
    <w:p w:rsidR="004F729E" w:rsidRDefault="004F729E" w:rsidP="004F729E">
      <w:pPr>
        <w:spacing w:line="134" w:lineRule="exact"/>
        <w:rPr>
          <w:sz w:val="20"/>
          <w:szCs w:val="20"/>
        </w:rPr>
      </w:pPr>
    </w:p>
    <w:p w:rsidR="004F729E" w:rsidRDefault="004F729E" w:rsidP="004F729E">
      <w:pPr>
        <w:spacing w:line="221" w:lineRule="auto"/>
        <w:ind w:left="814" w:right="20" w:hanging="438"/>
        <w:rPr>
          <w:sz w:val="20"/>
          <w:szCs w:val="20"/>
        </w:rPr>
      </w:pPr>
      <w:r>
        <w:rPr>
          <w:rFonts w:ascii="Calibri" w:eastAsia="Calibri" w:hAnsi="Calibri" w:cs="Calibri"/>
          <w:sz w:val="18"/>
          <w:szCs w:val="18"/>
        </w:rPr>
        <w:t>19.5. V případě, že Odběratel v rámci odstoupení od smlouvy zvolí variantu uvedenou v odstavci 19.4. těchto VNP pod písmenem b), bude Poskytovatel povinen:</w:t>
      </w:r>
    </w:p>
    <w:p w:rsidR="004F729E" w:rsidRDefault="004F729E" w:rsidP="004F729E">
      <w:pPr>
        <w:spacing w:line="131" w:lineRule="exact"/>
        <w:rPr>
          <w:sz w:val="20"/>
          <w:szCs w:val="20"/>
        </w:rPr>
      </w:pPr>
    </w:p>
    <w:p w:rsidR="004F729E" w:rsidRDefault="004F729E" w:rsidP="004F729E">
      <w:pPr>
        <w:numPr>
          <w:ilvl w:val="0"/>
          <w:numId w:val="23"/>
        </w:numPr>
        <w:tabs>
          <w:tab w:val="left" w:pos="1534"/>
        </w:tabs>
        <w:spacing w:line="222" w:lineRule="auto"/>
        <w:ind w:left="1534" w:right="20" w:hanging="358"/>
        <w:rPr>
          <w:rFonts w:ascii="Calibri" w:eastAsia="Calibri" w:hAnsi="Calibri" w:cs="Calibri"/>
          <w:sz w:val="18"/>
          <w:szCs w:val="18"/>
        </w:rPr>
      </w:pPr>
      <w:r>
        <w:rPr>
          <w:rFonts w:ascii="Calibri" w:eastAsia="Calibri" w:hAnsi="Calibri" w:cs="Calibr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F729E" w:rsidRDefault="004F729E" w:rsidP="004F729E">
      <w:pPr>
        <w:spacing w:line="90" w:lineRule="exact"/>
        <w:rPr>
          <w:rFonts w:ascii="Calibri" w:eastAsia="Calibri" w:hAnsi="Calibri" w:cs="Calibri"/>
          <w:sz w:val="18"/>
          <w:szCs w:val="18"/>
        </w:rPr>
      </w:pPr>
    </w:p>
    <w:p w:rsidR="004F729E" w:rsidRDefault="004F729E" w:rsidP="004F729E">
      <w:pPr>
        <w:numPr>
          <w:ilvl w:val="0"/>
          <w:numId w:val="23"/>
        </w:numPr>
        <w:tabs>
          <w:tab w:val="left" w:pos="1534"/>
        </w:tabs>
        <w:ind w:left="1534" w:hanging="358"/>
        <w:rPr>
          <w:rFonts w:ascii="Calibri" w:eastAsia="Calibri" w:hAnsi="Calibri" w:cs="Calibri"/>
          <w:sz w:val="18"/>
          <w:szCs w:val="18"/>
        </w:rPr>
      </w:pPr>
      <w:r>
        <w:rPr>
          <w:rFonts w:ascii="Calibri" w:eastAsia="Calibri" w:hAnsi="Calibri" w:cs="Calibri"/>
          <w:sz w:val="18"/>
          <w:szCs w:val="18"/>
        </w:rPr>
        <w:t>předat Odběrateli všechny části předmětu plnění smlouvy realizované Poskytovatelem do data odstoupení,</w:t>
      </w:r>
    </w:p>
    <w:p w:rsidR="004F729E" w:rsidRDefault="004F729E" w:rsidP="004F729E">
      <w:pPr>
        <w:spacing w:line="102" w:lineRule="exact"/>
        <w:rPr>
          <w:rFonts w:ascii="Calibri" w:eastAsia="Calibri" w:hAnsi="Calibri" w:cs="Calibri"/>
          <w:sz w:val="18"/>
          <w:szCs w:val="18"/>
        </w:rPr>
      </w:pPr>
    </w:p>
    <w:p w:rsidR="004F729E" w:rsidRDefault="004F729E" w:rsidP="004F729E">
      <w:pPr>
        <w:numPr>
          <w:ilvl w:val="0"/>
          <w:numId w:val="23"/>
        </w:numPr>
        <w:tabs>
          <w:tab w:val="left" w:pos="1534"/>
        </w:tabs>
        <w:ind w:left="1534" w:hanging="358"/>
        <w:rPr>
          <w:rFonts w:ascii="Calibri" w:eastAsia="Calibri" w:hAnsi="Calibri" w:cs="Calibri"/>
          <w:sz w:val="17"/>
          <w:szCs w:val="17"/>
        </w:rPr>
      </w:pPr>
      <w:r>
        <w:rPr>
          <w:rFonts w:ascii="Calibri" w:eastAsia="Calibri" w:hAnsi="Calibri" w:cs="Calibri"/>
          <w:sz w:val="17"/>
          <w:szCs w:val="17"/>
        </w:rPr>
        <w:t>ukončit všechny smlouvy s poddodavateli, kromě těch, které mají být Odběrateli postoupeny podle písmene d) níže,</w:t>
      </w:r>
    </w:p>
    <w:p w:rsidR="004F729E" w:rsidRDefault="004F729E" w:rsidP="004F729E">
      <w:pPr>
        <w:spacing w:line="128" w:lineRule="exact"/>
        <w:rPr>
          <w:rFonts w:ascii="Calibri" w:eastAsia="Calibri" w:hAnsi="Calibri" w:cs="Calibri"/>
          <w:sz w:val="17"/>
          <w:szCs w:val="17"/>
        </w:rPr>
      </w:pPr>
    </w:p>
    <w:p w:rsidR="004F729E" w:rsidRDefault="004F729E" w:rsidP="004F729E">
      <w:pPr>
        <w:numPr>
          <w:ilvl w:val="0"/>
          <w:numId w:val="23"/>
        </w:numPr>
        <w:tabs>
          <w:tab w:val="left" w:pos="1534"/>
        </w:tabs>
        <w:spacing w:line="234" w:lineRule="auto"/>
        <w:ind w:left="1534" w:hanging="358"/>
        <w:jc w:val="both"/>
        <w:rPr>
          <w:rFonts w:ascii="Calibri" w:eastAsia="Calibri" w:hAnsi="Calibri" w:cs="Calibri"/>
          <w:sz w:val="18"/>
          <w:szCs w:val="18"/>
        </w:rPr>
      </w:pPr>
      <w:r>
        <w:rPr>
          <w:rFonts w:ascii="Calibri" w:eastAsia="Calibri" w:hAnsi="Calibri" w:cs="Calibr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F729E" w:rsidRDefault="004F729E" w:rsidP="004F729E">
      <w:pPr>
        <w:spacing w:line="129" w:lineRule="exact"/>
        <w:rPr>
          <w:rFonts w:ascii="Calibri" w:eastAsia="Calibri" w:hAnsi="Calibri" w:cs="Calibri"/>
          <w:sz w:val="18"/>
          <w:szCs w:val="18"/>
        </w:rPr>
      </w:pPr>
    </w:p>
    <w:p w:rsidR="004F729E" w:rsidRDefault="004F729E" w:rsidP="004F729E">
      <w:pPr>
        <w:numPr>
          <w:ilvl w:val="0"/>
          <w:numId w:val="23"/>
        </w:numPr>
        <w:tabs>
          <w:tab w:val="left" w:pos="1534"/>
        </w:tabs>
        <w:spacing w:line="223" w:lineRule="auto"/>
        <w:ind w:left="1534" w:hanging="358"/>
        <w:rPr>
          <w:rFonts w:ascii="Calibri" w:eastAsia="Calibri" w:hAnsi="Calibri" w:cs="Calibri"/>
          <w:sz w:val="18"/>
          <w:szCs w:val="18"/>
        </w:rPr>
      </w:pPr>
      <w:r>
        <w:rPr>
          <w:rFonts w:ascii="Calibri" w:eastAsia="Calibri" w:hAnsi="Calibri" w:cs="Calibri"/>
          <w:sz w:val="18"/>
          <w:szCs w:val="18"/>
        </w:rPr>
        <w:t>dodat Odběrateli veškerou dokumentaci, výkresy, specifikace a ostatní dokumentaci vypracovanou Poskytovatelem a jeho poddodavateli v souvislosti s předmětem plnění smlouvy k datu odstoupení.</w:t>
      </w:r>
    </w:p>
    <w:p w:rsidR="004F729E" w:rsidRDefault="004F729E" w:rsidP="004F729E">
      <w:pPr>
        <w:spacing w:line="129" w:lineRule="exact"/>
        <w:rPr>
          <w:sz w:val="20"/>
          <w:szCs w:val="20"/>
        </w:rPr>
      </w:pPr>
    </w:p>
    <w:p w:rsidR="004F729E" w:rsidRDefault="004F729E" w:rsidP="004F729E">
      <w:pPr>
        <w:spacing w:line="237" w:lineRule="auto"/>
        <w:ind w:left="814" w:hanging="438"/>
        <w:jc w:val="both"/>
        <w:rPr>
          <w:sz w:val="20"/>
          <w:szCs w:val="20"/>
        </w:rPr>
      </w:pPr>
      <w:r>
        <w:rPr>
          <w:rFonts w:ascii="Calibri" w:eastAsia="Calibri" w:hAnsi="Calibri" w:cs="Calibr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Default="004F729E" w:rsidP="004F729E">
      <w:pPr>
        <w:spacing w:line="135" w:lineRule="exact"/>
        <w:rPr>
          <w:sz w:val="20"/>
          <w:szCs w:val="20"/>
        </w:rPr>
      </w:pPr>
    </w:p>
    <w:p w:rsidR="004F729E" w:rsidRDefault="004F729E" w:rsidP="004F729E">
      <w:pPr>
        <w:spacing w:line="234" w:lineRule="auto"/>
        <w:ind w:left="814" w:hanging="438"/>
        <w:jc w:val="both"/>
        <w:rPr>
          <w:sz w:val="20"/>
          <w:szCs w:val="20"/>
        </w:rPr>
      </w:pPr>
      <w:r>
        <w:rPr>
          <w:rFonts w:ascii="Calibri" w:eastAsia="Calibri" w:hAnsi="Calibri" w:cs="Calibr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F729E" w:rsidRDefault="004F729E" w:rsidP="004F729E">
      <w:pPr>
        <w:spacing w:line="134" w:lineRule="exact"/>
        <w:rPr>
          <w:sz w:val="20"/>
          <w:szCs w:val="20"/>
        </w:rPr>
      </w:pPr>
    </w:p>
    <w:p w:rsidR="004F729E" w:rsidRDefault="004F729E" w:rsidP="004F729E">
      <w:pPr>
        <w:spacing w:line="229" w:lineRule="auto"/>
        <w:ind w:left="814" w:hanging="438"/>
        <w:jc w:val="both"/>
        <w:rPr>
          <w:sz w:val="20"/>
          <w:szCs w:val="20"/>
        </w:rPr>
      </w:pPr>
      <w:r>
        <w:rPr>
          <w:rFonts w:ascii="Calibri" w:eastAsia="Calibri" w:hAnsi="Calibri" w:cs="Calibri"/>
          <w:sz w:val="18"/>
          <w:szCs w:val="18"/>
        </w:rPr>
        <w:lastRenderedPageBreak/>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9" w:lineRule="auto"/>
        <w:ind w:left="820" w:hanging="438"/>
        <w:jc w:val="both"/>
        <w:rPr>
          <w:sz w:val="20"/>
          <w:szCs w:val="20"/>
        </w:rPr>
      </w:pPr>
      <w:r>
        <w:rPr>
          <w:rFonts w:ascii="Calibri" w:eastAsia="Calibri" w:hAnsi="Calibri" w:cs="Calibr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F729E" w:rsidRDefault="004F729E" w:rsidP="004F729E">
      <w:pPr>
        <w:spacing w:line="96" w:lineRule="exact"/>
        <w:rPr>
          <w:sz w:val="20"/>
          <w:szCs w:val="20"/>
        </w:rPr>
      </w:pPr>
    </w:p>
    <w:p w:rsidR="004F729E" w:rsidRDefault="004F729E" w:rsidP="004F729E">
      <w:pPr>
        <w:ind w:left="360"/>
        <w:rPr>
          <w:sz w:val="20"/>
          <w:szCs w:val="20"/>
        </w:rPr>
      </w:pPr>
      <w:r>
        <w:rPr>
          <w:rFonts w:ascii="Calibri" w:eastAsia="Calibri" w:hAnsi="Calibri" w:cs="Calibri"/>
          <w:sz w:val="18"/>
          <w:szCs w:val="18"/>
        </w:rPr>
        <w:t>19.10. Ustanovení článku 26 tím zůstávají nedotčena.</w:t>
      </w:r>
    </w:p>
    <w:p w:rsidR="004F729E" w:rsidRDefault="004F729E" w:rsidP="004F729E">
      <w:pPr>
        <w:spacing w:line="344" w:lineRule="exact"/>
        <w:rPr>
          <w:sz w:val="20"/>
          <w:szCs w:val="20"/>
        </w:rPr>
      </w:pPr>
    </w:p>
    <w:p w:rsidR="004F729E" w:rsidRDefault="004F729E" w:rsidP="004F729E">
      <w:pPr>
        <w:rPr>
          <w:sz w:val="20"/>
          <w:szCs w:val="20"/>
        </w:rPr>
      </w:pPr>
      <w:r>
        <w:rPr>
          <w:rFonts w:ascii="Calibri" w:eastAsia="Calibri" w:hAnsi="Calibri" w:cs="Calibri"/>
          <w:b/>
          <w:bCs/>
          <w:sz w:val="18"/>
          <w:szCs w:val="18"/>
        </w:rPr>
        <w:t>20. Povinnosti po skončení účinnosti Smlouvy</w:t>
      </w:r>
    </w:p>
    <w:p w:rsidR="004F729E" w:rsidRDefault="004F729E" w:rsidP="004F729E">
      <w:pPr>
        <w:spacing w:line="131" w:lineRule="exact"/>
        <w:rPr>
          <w:sz w:val="20"/>
          <w:szCs w:val="20"/>
        </w:rPr>
      </w:pPr>
    </w:p>
    <w:p w:rsidR="004F729E" w:rsidRDefault="004F729E" w:rsidP="004F729E">
      <w:pPr>
        <w:spacing w:line="256" w:lineRule="auto"/>
        <w:ind w:left="820" w:right="20" w:hanging="438"/>
        <w:jc w:val="both"/>
        <w:rPr>
          <w:sz w:val="20"/>
          <w:szCs w:val="20"/>
        </w:rPr>
      </w:pPr>
      <w:r>
        <w:rPr>
          <w:rFonts w:ascii="Calibri" w:eastAsia="Calibri" w:hAnsi="Calibri" w:cs="Calibri"/>
          <w:sz w:val="17"/>
          <w:szCs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F729E" w:rsidRDefault="004F729E" w:rsidP="004F729E">
      <w:pPr>
        <w:spacing w:line="123" w:lineRule="exact"/>
        <w:rPr>
          <w:sz w:val="20"/>
          <w:szCs w:val="20"/>
        </w:rPr>
      </w:pPr>
    </w:p>
    <w:p w:rsidR="004F729E" w:rsidRDefault="004F729E" w:rsidP="004F729E">
      <w:pPr>
        <w:spacing w:line="229" w:lineRule="auto"/>
        <w:ind w:left="820" w:hanging="438"/>
        <w:jc w:val="both"/>
        <w:rPr>
          <w:sz w:val="20"/>
          <w:szCs w:val="20"/>
        </w:rPr>
      </w:pPr>
      <w:r>
        <w:rPr>
          <w:rFonts w:ascii="Calibri" w:eastAsia="Calibri" w:hAnsi="Calibri" w:cs="Calibr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F729E" w:rsidRDefault="004F729E" w:rsidP="004F729E">
      <w:pPr>
        <w:spacing w:line="135" w:lineRule="exact"/>
        <w:rPr>
          <w:sz w:val="20"/>
          <w:szCs w:val="20"/>
        </w:rPr>
      </w:pPr>
    </w:p>
    <w:p w:rsidR="004F729E" w:rsidRDefault="004F729E" w:rsidP="004F729E">
      <w:pPr>
        <w:spacing w:line="230" w:lineRule="auto"/>
        <w:ind w:left="800" w:right="20" w:hanging="438"/>
        <w:jc w:val="both"/>
        <w:rPr>
          <w:sz w:val="20"/>
          <w:szCs w:val="20"/>
        </w:rPr>
      </w:pPr>
      <w:r>
        <w:rPr>
          <w:rFonts w:ascii="Calibri" w:eastAsia="Calibri" w:hAnsi="Calibri" w:cs="Calibr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F729E" w:rsidRDefault="004F729E" w:rsidP="004F729E">
      <w:pPr>
        <w:spacing w:line="134" w:lineRule="exact"/>
        <w:rPr>
          <w:sz w:val="20"/>
          <w:szCs w:val="20"/>
        </w:rPr>
      </w:pPr>
    </w:p>
    <w:p w:rsidR="004F729E" w:rsidRDefault="004F729E" w:rsidP="004F729E">
      <w:pPr>
        <w:spacing w:line="238" w:lineRule="auto"/>
        <w:ind w:left="800" w:hanging="438"/>
        <w:jc w:val="both"/>
        <w:rPr>
          <w:sz w:val="20"/>
          <w:szCs w:val="20"/>
        </w:rPr>
      </w:pPr>
      <w:r>
        <w:rPr>
          <w:rFonts w:ascii="Calibri" w:eastAsia="Calibri" w:hAnsi="Calibri" w:cs="Calibr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F729E" w:rsidRDefault="004F729E" w:rsidP="004F729E">
      <w:pPr>
        <w:spacing w:line="373" w:lineRule="exact"/>
        <w:rPr>
          <w:sz w:val="20"/>
          <w:szCs w:val="20"/>
        </w:rPr>
      </w:pPr>
    </w:p>
    <w:p w:rsidR="004F729E" w:rsidRDefault="004F729E" w:rsidP="004F729E">
      <w:pPr>
        <w:numPr>
          <w:ilvl w:val="0"/>
          <w:numId w:val="24"/>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Důvěrná povaha</w:t>
      </w:r>
    </w:p>
    <w:p w:rsidR="004F729E" w:rsidRDefault="004F729E" w:rsidP="004F729E">
      <w:pPr>
        <w:spacing w:line="131" w:lineRule="exact"/>
        <w:rPr>
          <w:sz w:val="20"/>
          <w:szCs w:val="20"/>
        </w:rPr>
      </w:pPr>
    </w:p>
    <w:p w:rsidR="004F729E" w:rsidRDefault="004F729E" w:rsidP="004F729E">
      <w:pPr>
        <w:spacing w:line="220" w:lineRule="auto"/>
        <w:ind w:left="800" w:right="20" w:hanging="438"/>
        <w:jc w:val="both"/>
        <w:rPr>
          <w:sz w:val="20"/>
          <w:szCs w:val="20"/>
        </w:rPr>
      </w:pPr>
      <w:r>
        <w:rPr>
          <w:rFonts w:ascii="Calibri" w:eastAsia="Calibri" w:hAnsi="Calibri" w:cs="Calibr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F729E" w:rsidRDefault="004F729E" w:rsidP="004F729E">
      <w:pPr>
        <w:spacing w:line="135" w:lineRule="exact"/>
        <w:rPr>
          <w:sz w:val="20"/>
          <w:szCs w:val="20"/>
        </w:rPr>
      </w:pPr>
    </w:p>
    <w:p w:rsidR="004F729E" w:rsidRDefault="004F729E" w:rsidP="004F729E">
      <w:pPr>
        <w:spacing w:line="242" w:lineRule="auto"/>
        <w:ind w:left="800" w:hanging="438"/>
        <w:jc w:val="both"/>
        <w:rPr>
          <w:sz w:val="20"/>
          <w:szCs w:val="20"/>
        </w:rPr>
      </w:pPr>
      <w:r>
        <w:rPr>
          <w:rFonts w:ascii="Calibri" w:eastAsia="Calibri" w:hAnsi="Calibri" w:cs="Calibr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F729E" w:rsidRDefault="004F729E" w:rsidP="004F729E">
      <w:pPr>
        <w:spacing w:line="132" w:lineRule="exact"/>
        <w:rPr>
          <w:sz w:val="20"/>
          <w:szCs w:val="20"/>
        </w:rPr>
      </w:pPr>
    </w:p>
    <w:p w:rsidR="004F729E" w:rsidRDefault="004F729E" w:rsidP="004F729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jakékoli údaje identifikující zákazníka jako fyzickou či právnickou osobu, jako jsou např. jméno a příjmení či obchodní firma, datum narození, rodné číslo či IČ, adresa bydliště či sídla</w:t>
      </w:r>
    </w:p>
    <w:p w:rsidR="004F729E" w:rsidRDefault="004F729E" w:rsidP="004F729E">
      <w:pPr>
        <w:spacing w:line="47" w:lineRule="exact"/>
        <w:rPr>
          <w:rFonts w:eastAsia="Times New Roman"/>
          <w:sz w:val="18"/>
          <w:szCs w:val="18"/>
        </w:rPr>
      </w:pPr>
    </w:p>
    <w:p w:rsidR="004F729E" w:rsidRDefault="004F729E" w:rsidP="004F729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odběrném místě zákazníka, údaje o historii spotřeby zákazníka, údaje o odběrovém diagramu odběrného místa zákazníka</w:t>
      </w:r>
    </w:p>
    <w:p w:rsidR="004F729E" w:rsidRDefault="004F729E" w:rsidP="004F729E">
      <w:pPr>
        <w:spacing w:line="8" w:lineRule="exact"/>
        <w:rPr>
          <w:rFonts w:eastAsia="Times New Roman"/>
          <w:sz w:val="18"/>
          <w:szCs w:val="18"/>
        </w:rPr>
      </w:pPr>
    </w:p>
    <w:p w:rsidR="004F729E" w:rsidRDefault="004F729E" w:rsidP="004F729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 o tom, kdo je dodavatelem zákazníka</w:t>
      </w:r>
    </w:p>
    <w:p w:rsidR="004F729E" w:rsidRDefault="004F729E" w:rsidP="004F729E">
      <w:pPr>
        <w:spacing w:line="3" w:lineRule="exact"/>
        <w:rPr>
          <w:rFonts w:eastAsia="Times New Roman"/>
          <w:sz w:val="18"/>
          <w:szCs w:val="18"/>
        </w:rPr>
      </w:pPr>
    </w:p>
    <w:p w:rsidR="004F729E" w:rsidRDefault="004F729E" w:rsidP="004F729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údaje o platebních či jiných schopnostech zákazníka.</w:t>
      </w:r>
    </w:p>
    <w:p w:rsidR="004F729E" w:rsidRDefault="004F729E" w:rsidP="004F729E">
      <w:pPr>
        <w:spacing w:line="133" w:lineRule="exact"/>
        <w:rPr>
          <w:sz w:val="20"/>
          <w:szCs w:val="20"/>
        </w:rPr>
      </w:pPr>
    </w:p>
    <w:p w:rsidR="004F729E" w:rsidRDefault="004F729E" w:rsidP="004F729E">
      <w:pPr>
        <w:spacing w:line="230" w:lineRule="auto"/>
        <w:ind w:left="360"/>
        <w:jc w:val="both"/>
        <w:rPr>
          <w:sz w:val="20"/>
          <w:szCs w:val="20"/>
        </w:rPr>
      </w:pPr>
      <w:r>
        <w:rPr>
          <w:rFonts w:ascii="Calibri" w:eastAsia="Calibri" w:hAnsi="Calibri" w:cs="Calibri"/>
          <w:sz w:val="18"/>
          <w:szCs w:val="18"/>
        </w:rPr>
        <w:t xml:space="preserve">Jde také o následující údaje týkající se distribuční soustavy společnosti E.ON Distribuce, a.s., IČ 28085400, se sídlem F. A. </w:t>
      </w:r>
      <w:proofErr w:type="spellStart"/>
      <w:r>
        <w:rPr>
          <w:rFonts w:ascii="Calibri" w:eastAsia="Calibri" w:hAnsi="Calibri" w:cs="Calibri"/>
          <w:sz w:val="18"/>
          <w:szCs w:val="18"/>
        </w:rPr>
        <w:t>Gerstnera</w:t>
      </w:r>
      <w:proofErr w:type="spellEnd"/>
      <w:r>
        <w:rPr>
          <w:rFonts w:ascii="Calibri" w:eastAsia="Calibri" w:hAnsi="Calibri" w:cs="Calibri"/>
          <w:sz w:val="18"/>
          <w:szCs w:val="18"/>
        </w:rPr>
        <w:t xml:space="preserve"> 2151/6, České Budějovice 7, 370 01 České Budějovice, vedené u Krajského soudu v Českých Budějovicích pod B 1772 (dále jen „E.ON Distribuce, a.s.“)</w:t>
      </w:r>
    </w:p>
    <w:p w:rsidR="004F729E" w:rsidRDefault="004F729E" w:rsidP="004F729E">
      <w:pPr>
        <w:spacing w:line="94" w:lineRule="exact"/>
        <w:rPr>
          <w:sz w:val="20"/>
          <w:szCs w:val="20"/>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kritické infrastruktuře správce E.ON Distribuce, a.s., ve smyslu zák. č. 240/2000 Sb., (krizový zákon),</w:t>
      </w:r>
    </w:p>
    <w:p w:rsidR="004F729E" w:rsidRDefault="004F729E" w:rsidP="004F729E">
      <w:pPr>
        <w:spacing w:line="128" w:lineRule="exact"/>
        <w:rPr>
          <w:rFonts w:eastAsia="Times New Roman"/>
          <w:sz w:val="18"/>
          <w:szCs w:val="18"/>
        </w:rPr>
      </w:pPr>
    </w:p>
    <w:p w:rsidR="004F729E" w:rsidRDefault="004F729E" w:rsidP="004F729E">
      <w:pPr>
        <w:numPr>
          <w:ilvl w:val="0"/>
          <w:numId w:val="26"/>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kritické informační infrastruktuře správce E.ON Distribuce, a.s., ve smyslu zák. č. 181/2014 Sb., (zákon o kybernetické bezpečnosti),</w:t>
      </w:r>
    </w:p>
    <w:p w:rsidR="004F729E" w:rsidRDefault="004F729E" w:rsidP="004F729E">
      <w:pPr>
        <w:spacing w:line="90" w:lineRule="exact"/>
        <w:rPr>
          <w:rFonts w:eastAsia="Times New Roman"/>
          <w:sz w:val="18"/>
          <w:szCs w:val="18"/>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informačních a komunikačních systémech zajišťujících provoz distribuční soustavy E.ON Distribuce, a.s.,</w:t>
      </w:r>
    </w:p>
    <w:p w:rsidR="004F729E" w:rsidRDefault="004F729E" w:rsidP="004F729E">
      <w:pPr>
        <w:spacing w:line="87" w:lineRule="exact"/>
        <w:rPr>
          <w:rFonts w:eastAsia="Times New Roman"/>
          <w:sz w:val="18"/>
          <w:szCs w:val="18"/>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fyzickém zabezpečení objektů a prvků distribuční soustavy E.ON Distribuce, a.s.</w:t>
      </w:r>
    </w:p>
    <w:p w:rsidR="004F729E" w:rsidRDefault="004F729E" w:rsidP="004F729E">
      <w:pPr>
        <w:spacing w:line="87" w:lineRule="exact"/>
        <w:rPr>
          <w:sz w:val="20"/>
          <w:szCs w:val="20"/>
        </w:rPr>
      </w:pPr>
    </w:p>
    <w:p w:rsidR="004F729E" w:rsidRDefault="004F729E" w:rsidP="004F729E">
      <w:pPr>
        <w:ind w:left="360"/>
        <w:rPr>
          <w:sz w:val="20"/>
          <w:szCs w:val="20"/>
        </w:rPr>
      </w:pPr>
      <w:r>
        <w:rPr>
          <w:rFonts w:ascii="Calibri" w:eastAsia="Calibri" w:hAnsi="Calibri" w:cs="Calibri"/>
          <w:sz w:val="18"/>
          <w:szCs w:val="18"/>
        </w:rPr>
        <w:t>21.3. Pokud Důvěrné informace obsahují osobní údaje, použijí se přednostně ustanovení článku 23.</w:t>
      </w:r>
    </w:p>
    <w:p w:rsidR="004F729E" w:rsidRDefault="004F729E" w:rsidP="004F729E">
      <w:pPr>
        <w:sectPr w:rsidR="004F729E">
          <w:pgSz w:w="11900" w:h="16838"/>
          <w:pgMar w:top="717" w:right="1006" w:bottom="1041" w:left="1000" w:header="0" w:footer="0" w:gutter="0"/>
          <w:cols w:space="708" w:equalWidth="0">
            <w:col w:w="9900"/>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34" w:lineRule="auto"/>
        <w:ind w:left="814" w:right="20" w:hanging="438"/>
        <w:jc w:val="both"/>
        <w:rPr>
          <w:sz w:val="20"/>
          <w:szCs w:val="20"/>
        </w:rPr>
      </w:pPr>
      <w:r>
        <w:rPr>
          <w:rFonts w:ascii="Calibri" w:eastAsia="Calibri" w:hAnsi="Calibri" w:cs="Calibr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F729E" w:rsidRDefault="004F729E" w:rsidP="004F729E">
      <w:pPr>
        <w:spacing w:line="134" w:lineRule="exact"/>
        <w:rPr>
          <w:sz w:val="20"/>
          <w:szCs w:val="20"/>
        </w:rPr>
      </w:pPr>
    </w:p>
    <w:p w:rsidR="004F729E" w:rsidRDefault="004F729E" w:rsidP="004F729E">
      <w:pPr>
        <w:spacing w:line="220" w:lineRule="auto"/>
        <w:ind w:left="794" w:hanging="438"/>
        <w:jc w:val="both"/>
        <w:rPr>
          <w:sz w:val="20"/>
          <w:szCs w:val="20"/>
        </w:rPr>
      </w:pPr>
      <w:r>
        <w:rPr>
          <w:rFonts w:ascii="Calibri" w:eastAsia="Calibri" w:hAnsi="Calibri" w:cs="Calibr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F729E" w:rsidRDefault="004F729E" w:rsidP="004F729E">
      <w:pPr>
        <w:spacing w:line="135" w:lineRule="exact"/>
        <w:rPr>
          <w:sz w:val="20"/>
          <w:szCs w:val="20"/>
        </w:rPr>
      </w:pPr>
    </w:p>
    <w:p w:rsidR="004F729E" w:rsidRDefault="004F729E" w:rsidP="004F729E">
      <w:pPr>
        <w:spacing w:line="220" w:lineRule="auto"/>
        <w:ind w:left="794" w:right="20" w:hanging="438"/>
        <w:jc w:val="both"/>
        <w:rPr>
          <w:sz w:val="20"/>
          <w:szCs w:val="20"/>
        </w:rPr>
      </w:pPr>
      <w:r>
        <w:rPr>
          <w:rFonts w:ascii="Calibri" w:eastAsia="Calibri" w:hAnsi="Calibri" w:cs="Calibri"/>
          <w:sz w:val="18"/>
          <w:szCs w:val="18"/>
        </w:rPr>
        <w:t>21.6. Dodavatel je povinen bez zbytečného odkladu informovat společnost E.ON při všech náznacích porušení jakýchkoli podmínek tohoto článku 21.</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21.7. Povinnosti vyplývající z tohoto článku 21 nejsou ukončením Smlouvy dotčeny.</w:t>
      </w:r>
    </w:p>
    <w:p w:rsidR="004F729E" w:rsidRDefault="004F729E" w:rsidP="004F729E">
      <w:pPr>
        <w:spacing w:line="133" w:lineRule="exact"/>
        <w:rPr>
          <w:sz w:val="20"/>
          <w:szCs w:val="20"/>
        </w:rPr>
      </w:pPr>
    </w:p>
    <w:p w:rsidR="004F729E" w:rsidRDefault="004F729E" w:rsidP="004F729E">
      <w:pPr>
        <w:spacing w:line="230" w:lineRule="auto"/>
        <w:ind w:left="794" w:right="20" w:hanging="438"/>
        <w:jc w:val="both"/>
        <w:rPr>
          <w:sz w:val="20"/>
          <w:szCs w:val="20"/>
        </w:rPr>
      </w:pPr>
      <w:r>
        <w:rPr>
          <w:rFonts w:ascii="Calibri" w:eastAsia="Calibri" w:hAnsi="Calibri" w:cs="Calibr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F729E" w:rsidRDefault="004F729E" w:rsidP="004F729E">
      <w:pPr>
        <w:spacing w:line="367" w:lineRule="exact"/>
        <w:rPr>
          <w:sz w:val="20"/>
          <w:szCs w:val="20"/>
        </w:rPr>
      </w:pPr>
    </w:p>
    <w:p w:rsidR="004F729E" w:rsidRDefault="004F729E" w:rsidP="004F729E">
      <w:pPr>
        <w:numPr>
          <w:ilvl w:val="0"/>
          <w:numId w:val="2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Poskytovatele v souvislosti se zák. č. 458/2000 Sb.</w:t>
      </w:r>
    </w:p>
    <w:p w:rsidR="004F729E" w:rsidRDefault="004F729E" w:rsidP="004F729E">
      <w:pPr>
        <w:spacing w:line="134" w:lineRule="exact"/>
        <w:rPr>
          <w:sz w:val="20"/>
          <w:szCs w:val="20"/>
        </w:rPr>
      </w:pPr>
    </w:p>
    <w:p w:rsidR="004F729E" w:rsidRDefault="004F729E" w:rsidP="004F729E">
      <w:pPr>
        <w:spacing w:line="236" w:lineRule="auto"/>
        <w:ind w:left="354"/>
        <w:jc w:val="both"/>
        <w:rPr>
          <w:sz w:val="20"/>
          <w:szCs w:val="20"/>
        </w:rPr>
      </w:pPr>
      <w:r>
        <w:rPr>
          <w:rFonts w:ascii="Calibri" w:eastAsia="Calibri" w:hAnsi="Calibri" w:cs="Calibr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Pr>
          <w:rFonts w:ascii="Calibri" w:eastAsia="Calibri" w:hAnsi="Calibri" w:cs="Calibri"/>
          <w:sz w:val="18"/>
          <w:szCs w:val="18"/>
        </w:rPr>
        <w:t>ust</w:t>
      </w:r>
      <w:proofErr w:type="spellEnd"/>
      <w:r>
        <w:rPr>
          <w:rFonts w:ascii="Calibri" w:eastAsia="Calibri" w:hAnsi="Calibri" w:cs="Calibri"/>
          <w:sz w:val="18"/>
          <w:szCs w:val="18"/>
        </w:rPr>
        <w:t>. § 25a a § 59a tohoto zákona).</w:t>
      </w:r>
    </w:p>
    <w:p w:rsidR="004F729E" w:rsidRDefault="004F729E" w:rsidP="004F729E">
      <w:pPr>
        <w:spacing w:line="200" w:lineRule="exact"/>
        <w:rPr>
          <w:sz w:val="20"/>
          <w:szCs w:val="20"/>
        </w:rPr>
      </w:pPr>
    </w:p>
    <w:p w:rsidR="004F729E" w:rsidRDefault="004F729E" w:rsidP="004F729E">
      <w:pPr>
        <w:spacing w:line="205" w:lineRule="exact"/>
        <w:rPr>
          <w:sz w:val="20"/>
          <w:szCs w:val="20"/>
        </w:rPr>
      </w:pPr>
    </w:p>
    <w:p w:rsidR="004F729E" w:rsidRDefault="004F729E" w:rsidP="004F729E">
      <w:pPr>
        <w:numPr>
          <w:ilvl w:val="0"/>
          <w:numId w:val="2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Ochrana údajů, Zadávání zakázek v celé skupině</w:t>
      </w:r>
    </w:p>
    <w:p w:rsidR="004F729E" w:rsidRDefault="004F729E" w:rsidP="004F729E">
      <w:pPr>
        <w:spacing w:line="133" w:lineRule="exact"/>
        <w:rPr>
          <w:sz w:val="20"/>
          <w:szCs w:val="20"/>
        </w:rPr>
      </w:pPr>
    </w:p>
    <w:p w:rsidR="004F729E" w:rsidRDefault="004F729E" w:rsidP="004F729E">
      <w:pPr>
        <w:spacing w:line="233" w:lineRule="auto"/>
        <w:ind w:left="794" w:hanging="438"/>
        <w:jc w:val="both"/>
        <w:rPr>
          <w:sz w:val="20"/>
          <w:szCs w:val="20"/>
        </w:rPr>
      </w:pPr>
      <w:r>
        <w:rPr>
          <w:rFonts w:ascii="Calibri" w:eastAsia="Calibri" w:hAnsi="Calibri" w:cs="Calibr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F729E" w:rsidRDefault="004F729E" w:rsidP="004F729E">
      <w:pPr>
        <w:spacing w:line="138" w:lineRule="exact"/>
        <w:rPr>
          <w:sz w:val="20"/>
          <w:szCs w:val="20"/>
        </w:rPr>
      </w:pPr>
    </w:p>
    <w:p w:rsidR="004F729E" w:rsidRDefault="004F729E" w:rsidP="004F729E">
      <w:pPr>
        <w:spacing w:line="229" w:lineRule="auto"/>
        <w:ind w:left="794" w:right="20" w:hanging="438"/>
        <w:jc w:val="both"/>
        <w:rPr>
          <w:sz w:val="20"/>
          <w:szCs w:val="20"/>
        </w:rPr>
      </w:pPr>
      <w:r>
        <w:rPr>
          <w:rFonts w:ascii="Calibri" w:eastAsia="Calibri" w:hAnsi="Calibri" w:cs="Calibr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F729E" w:rsidRDefault="004F729E" w:rsidP="004F729E">
      <w:pPr>
        <w:spacing w:line="134" w:lineRule="exact"/>
        <w:rPr>
          <w:sz w:val="20"/>
          <w:szCs w:val="20"/>
        </w:rPr>
      </w:pPr>
    </w:p>
    <w:p w:rsidR="004F729E" w:rsidRDefault="004F729E" w:rsidP="004F729E">
      <w:pPr>
        <w:spacing w:line="234" w:lineRule="auto"/>
        <w:ind w:left="794" w:right="20" w:hanging="438"/>
        <w:jc w:val="both"/>
        <w:rPr>
          <w:sz w:val="20"/>
          <w:szCs w:val="20"/>
        </w:rPr>
      </w:pPr>
      <w:r>
        <w:rPr>
          <w:rFonts w:ascii="Calibri" w:eastAsia="Calibri" w:hAnsi="Calibri" w:cs="Calibr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F729E" w:rsidRDefault="004F729E" w:rsidP="004F729E">
      <w:pPr>
        <w:spacing w:line="132" w:lineRule="exact"/>
        <w:rPr>
          <w:sz w:val="20"/>
          <w:szCs w:val="20"/>
        </w:rPr>
      </w:pPr>
    </w:p>
    <w:p w:rsidR="004F729E" w:rsidRDefault="004F729E" w:rsidP="004F729E">
      <w:pPr>
        <w:spacing w:line="234" w:lineRule="auto"/>
        <w:ind w:left="794" w:right="20" w:hanging="441"/>
        <w:rPr>
          <w:rFonts w:ascii="Calibri" w:eastAsia="Calibri" w:hAnsi="Calibri" w:cs="Calibri"/>
          <w:color w:val="0563C1"/>
          <w:sz w:val="18"/>
          <w:szCs w:val="18"/>
          <w:u w:val="single"/>
        </w:rPr>
      </w:pPr>
      <w:r>
        <w:rPr>
          <w:rFonts w:ascii="Calibri" w:eastAsia="Calibri" w:hAnsi="Calibri" w:cs="Calibr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3">
        <w:r>
          <w:rPr>
            <w:rFonts w:ascii="Calibri" w:eastAsia="Calibri" w:hAnsi="Calibri" w:cs="Calibri"/>
            <w:color w:val="0563C1"/>
            <w:sz w:val="18"/>
            <w:szCs w:val="18"/>
            <w:u w:val="single"/>
          </w:rPr>
          <w:t>http://www.eon.cz/o-nas/o-skupine-eon/pro-partnery/vseobecne-nakupni-podminky</w:t>
        </w:r>
      </w:hyperlink>
    </w:p>
    <w:p w:rsidR="004F729E" w:rsidRDefault="004F729E" w:rsidP="004F729E">
      <w:pPr>
        <w:spacing w:line="134" w:lineRule="exact"/>
        <w:rPr>
          <w:sz w:val="20"/>
          <w:szCs w:val="20"/>
        </w:rPr>
      </w:pPr>
    </w:p>
    <w:p w:rsidR="004F729E" w:rsidRDefault="004F729E" w:rsidP="004F729E">
      <w:pPr>
        <w:spacing w:line="220" w:lineRule="auto"/>
        <w:ind w:left="754" w:right="20"/>
        <w:rPr>
          <w:sz w:val="20"/>
          <w:szCs w:val="20"/>
        </w:rPr>
      </w:pPr>
      <w:r>
        <w:rPr>
          <w:rFonts w:ascii="Calibri" w:eastAsia="Calibri" w:hAnsi="Calibri" w:cs="Calibr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F729E" w:rsidRDefault="004F729E" w:rsidP="004F729E">
      <w:pPr>
        <w:spacing w:line="135" w:lineRule="exact"/>
        <w:rPr>
          <w:sz w:val="20"/>
          <w:szCs w:val="20"/>
        </w:rPr>
      </w:pPr>
    </w:p>
    <w:p w:rsidR="004F729E" w:rsidRDefault="004F729E" w:rsidP="004F729E">
      <w:pPr>
        <w:spacing w:line="220" w:lineRule="auto"/>
        <w:ind w:left="794" w:hanging="438"/>
        <w:rPr>
          <w:sz w:val="20"/>
          <w:szCs w:val="20"/>
        </w:rPr>
      </w:pPr>
      <w:r>
        <w:rPr>
          <w:rFonts w:ascii="Calibri" w:eastAsia="Calibri" w:hAnsi="Calibri" w:cs="Calibri"/>
          <w:sz w:val="18"/>
          <w:szCs w:val="18"/>
        </w:rPr>
        <w:t>23.5. Pokud a v té míře, v níž při plnění svých smluvních závazků Dodavatel zpracovává pro společnost E.ON osobní údaje, které mu společnost E.ON předala nebo svěřila</w:t>
      </w:r>
    </w:p>
    <w:p w:rsidR="004F729E" w:rsidRDefault="004F729E" w:rsidP="004F729E">
      <w:pPr>
        <w:spacing w:line="318" w:lineRule="exact"/>
        <w:rPr>
          <w:sz w:val="20"/>
          <w:szCs w:val="20"/>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zpracování jménem společnosti E.ON,</w:t>
      </w:r>
    </w:p>
    <w:p w:rsidR="004F729E" w:rsidRDefault="004F729E" w:rsidP="004F729E">
      <w:pPr>
        <w:spacing w:line="317" w:lineRule="exact"/>
        <w:rPr>
          <w:rFonts w:ascii="Segoe UI Symbol" w:eastAsia="Segoe UI Symbol" w:hAnsi="Segoe UI Symbol" w:cs="Segoe UI Symbol"/>
          <w:sz w:val="18"/>
          <w:szCs w:val="18"/>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nezávislého zpracování nebo</w:t>
      </w:r>
    </w:p>
    <w:p w:rsidR="004F729E" w:rsidRDefault="004F729E" w:rsidP="004F729E">
      <w:pPr>
        <w:spacing w:line="319" w:lineRule="exact"/>
        <w:rPr>
          <w:rFonts w:ascii="Segoe UI Symbol" w:eastAsia="Segoe UI Symbol" w:hAnsi="Segoe UI Symbol" w:cs="Segoe UI Symbol"/>
          <w:sz w:val="18"/>
          <w:szCs w:val="18"/>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 titulu společné odpovědnosti Dodavatele a společnosti E.ON,</w:t>
      </w:r>
    </w:p>
    <w:p w:rsidR="004F729E" w:rsidRDefault="004F729E" w:rsidP="004F729E">
      <w:pPr>
        <w:spacing w:line="200" w:lineRule="exact"/>
        <w:rPr>
          <w:sz w:val="20"/>
          <w:szCs w:val="20"/>
        </w:rPr>
      </w:pPr>
    </w:p>
    <w:p w:rsidR="004F729E" w:rsidRDefault="004F729E" w:rsidP="004F729E">
      <w:pPr>
        <w:spacing w:line="351" w:lineRule="exact"/>
        <w:rPr>
          <w:sz w:val="20"/>
          <w:szCs w:val="20"/>
        </w:rPr>
      </w:pPr>
    </w:p>
    <w:p w:rsidR="004F729E" w:rsidRDefault="004F729E" w:rsidP="004F729E">
      <w:pPr>
        <w:spacing w:line="220" w:lineRule="auto"/>
        <w:ind w:left="794" w:right="440"/>
        <w:rPr>
          <w:sz w:val="20"/>
          <w:szCs w:val="20"/>
        </w:rPr>
      </w:pPr>
      <w:r>
        <w:rPr>
          <w:rFonts w:ascii="Calibri" w:eastAsia="Calibri" w:hAnsi="Calibri" w:cs="Calibri"/>
          <w:sz w:val="18"/>
          <w:szCs w:val="18"/>
        </w:rPr>
        <w:lastRenderedPageBreak/>
        <w:t>použijí se ustanovení přílohy „Požadavky na bezpečnost informací a Technická a organizační opatření k ochraně údajů“ příslušné objednávky a ustanovení souvisejících dodatků.</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30"/>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Bezpečnost informací</w:t>
      </w:r>
    </w:p>
    <w:p w:rsidR="004F729E" w:rsidRDefault="004F729E" w:rsidP="004F729E">
      <w:pPr>
        <w:spacing w:line="97" w:lineRule="exact"/>
        <w:rPr>
          <w:sz w:val="20"/>
          <w:szCs w:val="20"/>
        </w:rPr>
      </w:pPr>
    </w:p>
    <w:p w:rsidR="004F729E" w:rsidRDefault="004F729E" w:rsidP="004F729E">
      <w:pPr>
        <w:spacing w:line="237" w:lineRule="auto"/>
        <w:ind w:left="380" w:right="160"/>
        <w:jc w:val="both"/>
        <w:rPr>
          <w:sz w:val="20"/>
          <w:szCs w:val="20"/>
        </w:rPr>
      </w:pPr>
      <w:r>
        <w:rPr>
          <w:rFonts w:ascii="Calibri" w:eastAsia="Calibri" w:hAnsi="Calibri" w:cs="Calibr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F729E" w:rsidRDefault="004F729E" w:rsidP="004F729E">
      <w:pPr>
        <w:spacing w:line="91" w:lineRule="exact"/>
        <w:rPr>
          <w:sz w:val="20"/>
          <w:szCs w:val="20"/>
        </w:rPr>
      </w:pPr>
    </w:p>
    <w:p w:rsidR="004F729E" w:rsidRDefault="004F729E" w:rsidP="004F729E">
      <w:pPr>
        <w:rPr>
          <w:sz w:val="20"/>
          <w:szCs w:val="20"/>
        </w:rPr>
      </w:pPr>
      <w:r>
        <w:rPr>
          <w:rFonts w:ascii="Calibri" w:eastAsia="Calibri" w:hAnsi="Calibri" w:cs="Calibri"/>
          <w:b/>
          <w:bCs/>
          <w:sz w:val="18"/>
          <w:szCs w:val="18"/>
        </w:rPr>
        <w:t>25. Publikace, Reklama</w:t>
      </w:r>
    </w:p>
    <w:p w:rsidR="004F729E" w:rsidRDefault="004F729E" w:rsidP="004F729E">
      <w:pPr>
        <w:spacing w:line="97" w:lineRule="exact"/>
        <w:rPr>
          <w:sz w:val="20"/>
          <w:szCs w:val="20"/>
        </w:rPr>
      </w:pPr>
    </w:p>
    <w:p w:rsidR="004F729E" w:rsidRDefault="004F729E" w:rsidP="004F729E">
      <w:pPr>
        <w:spacing w:line="244" w:lineRule="auto"/>
        <w:ind w:left="380" w:right="20"/>
        <w:jc w:val="both"/>
        <w:rPr>
          <w:sz w:val="20"/>
          <w:szCs w:val="20"/>
        </w:rPr>
      </w:pPr>
      <w:r>
        <w:rPr>
          <w:rFonts w:ascii="Calibri" w:eastAsia="Calibri" w:hAnsi="Calibri" w:cs="Calibr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F729E" w:rsidRDefault="004F729E" w:rsidP="004F729E">
      <w:pPr>
        <w:spacing w:line="86" w:lineRule="exact"/>
        <w:rPr>
          <w:sz w:val="20"/>
          <w:szCs w:val="20"/>
        </w:rPr>
      </w:pPr>
    </w:p>
    <w:p w:rsidR="004F729E" w:rsidRDefault="004F729E" w:rsidP="004F729E">
      <w:pPr>
        <w:rPr>
          <w:sz w:val="20"/>
          <w:szCs w:val="20"/>
        </w:rPr>
      </w:pPr>
      <w:r>
        <w:rPr>
          <w:rFonts w:ascii="Calibri" w:eastAsia="Calibri" w:hAnsi="Calibri" w:cs="Calibri"/>
          <w:b/>
          <w:bCs/>
          <w:sz w:val="18"/>
          <w:szCs w:val="18"/>
        </w:rPr>
        <w:t>26. Brexit</w:t>
      </w:r>
    </w:p>
    <w:p w:rsidR="004F729E" w:rsidRDefault="004F729E" w:rsidP="004F729E">
      <w:pPr>
        <w:spacing w:line="97" w:lineRule="exact"/>
        <w:rPr>
          <w:sz w:val="20"/>
          <w:szCs w:val="20"/>
        </w:rPr>
      </w:pPr>
    </w:p>
    <w:p w:rsidR="004F729E" w:rsidRDefault="004F729E" w:rsidP="004F729E">
      <w:pPr>
        <w:spacing w:line="241" w:lineRule="auto"/>
        <w:ind w:left="360"/>
        <w:jc w:val="both"/>
        <w:rPr>
          <w:sz w:val="20"/>
          <w:szCs w:val="20"/>
        </w:rPr>
      </w:pPr>
      <w:r>
        <w:rPr>
          <w:rFonts w:ascii="Calibri" w:eastAsia="Calibri" w:hAnsi="Calibri" w:cs="Calibr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F729E" w:rsidRDefault="004F729E" w:rsidP="004F729E">
      <w:pPr>
        <w:spacing w:line="371" w:lineRule="exact"/>
        <w:rPr>
          <w:sz w:val="20"/>
          <w:szCs w:val="20"/>
        </w:rPr>
      </w:pPr>
    </w:p>
    <w:p w:rsidR="004F729E" w:rsidRDefault="004F729E" w:rsidP="004F729E">
      <w:pPr>
        <w:numPr>
          <w:ilvl w:val="0"/>
          <w:numId w:val="31"/>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Příslušnost soudu, Jazyk smlouvy, Rozhodné právo, Svátky, Písemná podoba</w:t>
      </w:r>
    </w:p>
    <w:p w:rsidR="004F729E" w:rsidRDefault="004F729E" w:rsidP="004F729E">
      <w:pPr>
        <w:spacing w:line="131" w:lineRule="exact"/>
        <w:rPr>
          <w:sz w:val="20"/>
          <w:szCs w:val="20"/>
        </w:rPr>
      </w:pPr>
    </w:p>
    <w:p w:rsidR="004F729E" w:rsidRDefault="004F729E" w:rsidP="004F729E">
      <w:pPr>
        <w:spacing w:line="229" w:lineRule="auto"/>
        <w:ind w:left="820" w:right="20" w:hanging="438"/>
        <w:jc w:val="both"/>
        <w:rPr>
          <w:sz w:val="20"/>
          <w:szCs w:val="20"/>
        </w:rPr>
      </w:pPr>
      <w:r>
        <w:rPr>
          <w:rFonts w:ascii="Calibri" w:eastAsia="Calibri" w:hAnsi="Calibri" w:cs="Calibr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Default="004F729E" w:rsidP="004F729E">
      <w:pPr>
        <w:spacing w:line="137" w:lineRule="exact"/>
        <w:rPr>
          <w:sz w:val="20"/>
          <w:szCs w:val="20"/>
        </w:rPr>
      </w:pPr>
    </w:p>
    <w:p w:rsidR="004F729E" w:rsidRDefault="004F729E" w:rsidP="004F729E">
      <w:pPr>
        <w:spacing w:line="219" w:lineRule="auto"/>
        <w:ind w:left="800" w:right="20" w:hanging="438"/>
        <w:jc w:val="both"/>
        <w:rPr>
          <w:sz w:val="20"/>
          <w:szCs w:val="20"/>
        </w:rPr>
      </w:pPr>
      <w:r>
        <w:rPr>
          <w:rFonts w:ascii="Calibri" w:eastAsia="Calibri" w:hAnsi="Calibri" w:cs="Calibri"/>
          <w:sz w:val="18"/>
          <w:szCs w:val="18"/>
        </w:rPr>
        <w:t>27.2. Rozhodným právem je právo České republiky, s vyloučením Úmluvy Organizace spojených národů o smlouvách o mezinárodní koupi zboží ze dne 11. dubna 1980.</w:t>
      </w:r>
    </w:p>
    <w:p w:rsidR="004F729E" w:rsidRDefault="004F729E" w:rsidP="004F729E">
      <w:pPr>
        <w:spacing w:line="134" w:lineRule="exact"/>
        <w:rPr>
          <w:sz w:val="20"/>
          <w:szCs w:val="20"/>
        </w:rPr>
      </w:pPr>
    </w:p>
    <w:p w:rsidR="004F729E" w:rsidRDefault="004F729E" w:rsidP="004F729E">
      <w:pPr>
        <w:spacing w:line="217" w:lineRule="auto"/>
        <w:ind w:left="820" w:hanging="438"/>
        <w:jc w:val="both"/>
        <w:rPr>
          <w:sz w:val="20"/>
          <w:szCs w:val="20"/>
        </w:rPr>
      </w:pPr>
      <w:r>
        <w:rPr>
          <w:rFonts w:ascii="Calibri" w:eastAsia="Calibri" w:hAnsi="Calibri" w:cs="Calibri"/>
          <w:sz w:val="18"/>
          <w:szCs w:val="18"/>
        </w:rPr>
        <w:t>27.3. Jazykem smlouvy je čeština. V souladu s tím také platí VNP výhradně v jazyce smlouvy. Na jiné překlady nebude při výkladu brán zřetel.</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27.4. Svátky uvedené ve Smlouvě jsou výhradně odkazy na státní svátky České republiky.</w:t>
      </w:r>
    </w:p>
    <w:p w:rsidR="004F729E" w:rsidRDefault="004F729E" w:rsidP="004F729E">
      <w:pPr>
        <w:spacing w:line="133" w:lineRule="exact"/>
        <w:rPr>
          <w:sz w:val="20"/>
          <w:szCs w:val="20"/>
        </w:rPr>
      </w:pPr>
    </w:p>
    <w:p w:rsidR="004F729E" w:rsidRPr="00990D23" w:rsidRDefault="004F729E" w:rsidP="004F729E">
      <w:pPr>
        <w:spacing w:line="221" w:lineRule="auto"/>
        <w:ind w:left="800" w:right="20" w:hanging="438"/>
        <w:jc w:val="both"/>
        <w:rPr>
          <w:rFonts w:ascii="Calibri" w:eastAsia="Calibri" w:hAnsi="Calibri" w:cs="Calibri"/>
          <w:sz w:val="18"/>
          <w:szCs w:val="18"/>
        </w:rPr>
      </w:pPr>
      <w:r>
        <w:rPr>
          <w:rFonts w:ascii="Calibri" w:eastAsia="Calibri" w:hAnsi="Calibri" w:cs="Calibri"/>
          <w:sz w:val="18"/>
          <w:szCs w:val="18"/>
        </w:rPr>
        <w:t xml:space="preserve">27.5. </w:t>
      </w:r>
      <w:r w:rsidRPr="00990D23">
        <w:rPr>
          <w:rFonts w:ascii="Calibri" w:eastAsia="Calibri" w:hAnsi="Calibri" w:cs="Calibri"/>
          <w:sz w:val="18"/>
          <w:szCs w:val="18"/>
        </w:rPr>
        <w:t>V rozsahu, v jakém je písemná forma ustanovena t</w:t>
      </w:r>
      <w:r>
        <w:rPr>
          <w:rFonts w:ascii="Calibri" w:eastAsia="Calibri" w:hAnsi="Calibri" w:cs="Calibri"/>
          <w:sz w:val="18"/>
          <w:szCs w:val="18"/>
        </w:rPr>
        <w:t>ěmito VNP</w:t>
      </w:r>
      <w:r w:rsidRPr="00990D23">
        <w:rPr>
          <w:rFonts w:ascii="Calibri" w:eastAsia="Calibri" w:hAnsi="Calibri" w:cs="Calibri"/>
          <w:sz w:val="18"/>
          <w:szCs w:val="18"/>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r>
        <w:rPr>
          <w:rFonts w:ascii="Calibri" w:eastAsia="Calibri" w:hAnsi="Calibri" w:cs="Calibri"/>
          <w:sz w:val="18"/>
          <w:szCs w:val="18"/>
        </w:rPr>
        <w:t>.</w:t>
      </w:r>
    </w:p>
    <w:p w:rsidR="004F729E" w:rsidRDefault="004F729E" w:rsidP="004F729E">
      <w:pPr>
        <w:spacing w:line="221" w:lineRule="auto"/>
        <w:ind w:left="800" w:right="20" w:hanging="438"/>
        <w:jc w:val="both"/>
        <w:rPr>
          <w:sz w:val="20"/>
          <w:szCs w:val="20"/>
        </w:rPr>
      </w:pPr>
    </w:p>
    <w:p w:rsidR="004F729E" w:rsidRDefault="004F729E" w:rsidP="004F729E">
      <w:pPr>
        <w:spacing w:line="234" w:lineRule="auto"/>
        <w:ind w:left="800" w:hanging="438"/>
        <w:jc w:val="both"/>
        <w:rPr>
          <w:sz w:val="20"/>
          <w:szCs w:val="20"/>
        </w:rPr>
      </w:pPr>
      <w:r>
        <w:rPr>
          <w:rFonts w:ascii="Calibri" w:eastAsia="Calibri" w:hAnsi="Calibri" w:cs="Calibr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ind w:left="20"/>
        <w:rPr>
          <w:sz w:val="20"/>
          <w:szCs w:val="20"/>
        </w:rPr>
      </w:pPr>
      <w:r>
        <w:rPr>
          <w:rFonts w:ascii="Calibri" w:eastAsia="Calibri" w:hAnsi="Calibri" w:cs="Calibri"/>
          <w:b/>
          <w:bCs/>
          <w:sz w:val="18"/>
          <w:szCs w:val="18"/>
        </w:rPr>
        <w:t>28. Ostatní ustanovení</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28.1. Poskytovatel tímto prohlašuje, že na sebe přebírá nebezpečí změny okolností po uzavření smlouvy ve smyslu ustanovení §§</w:t>
      </w:r>
    </w:p>
    <w:p w:rsidR="004F729E" w:rsidRDefault="004F729E" w:rsidP="004F729E">
      <w:pPr>
        <w:spacing w:line="6" w:lineRule="exact"/>
        <w:rPr>
          <w:sz w:val="20"/>
          <w:szCs w:val="20"/>
        </w:rPr>
      </w:pPr>
    </w:p>
    <w:p w:rsidR="004F729E" w:rsidRDefault="004F729E" w:rsidP="004F729E">
      <w:pPr>
        <w:ind w:left="800"/>
        <w:rPr>
          <w:sz w:val="20"/>
          <w:szCs w:val="20"/>
        </w:rPr>
      </w:pPr>
      <w:r>
        <w:rPr>
          <w:rFonts w:ascii="Calibri" w:eastAsia="Calibri" w:hAnsi="Calibri" w:cs="Calibri"/>
          <w:sz w:val="18"/>
          <w:szCs w:val="18"/>
        </w:rPr>
        <w:t xml:space="preserve">1765 a 1766 </w:t>
      </w:r>
      <w:proofErr w:type="spellStart"/>
      <w:r>
        <w:rPr>
          <w:rFonts w:ascii="Calibri" w:eastAsia="Calibri" w:hAnsi="Calibri" w:cs="Calibri"/>
          <w:sz w:val="18"/>
          <w:szCs w:val="18"/>
        </w:rPr>
        <w:t>zák.č</w:t>
      </w:r>
      <w:proofErr w:type="spellEnd"/>
      <w:r>
        <w:rPr>
          <w:rFonts w:ascii="Calibri" w:eastAsia="Calibri" w:hAnsi="Calibri" w:cs="Calibri"/>
          <w:sz w:val="18"/>
          <w:szCs w:val="18"/>
        </w:rPr>
        <w:t>. 89/2012 Sb., občanského zákoníku.</w:t>
      </w:r>
    </w:p>
    <w:p w:rsidR="004F729E" w:rsidRDefault="004F729E" w:rsidP="004F729E">
      <w:pPr>
        <w:spacing w:line="90" w:lineRule="exact"/>
        <w:rPr>
          <w:sz w:val="20"/>
          <w:szCs w:val="20"/>
        </w:rPr>
      </w:pPr>
    </w:p>
    <w:p w:rsidR="004F729E" w:rsidRDefault="004F729E" w:rsidP="004F729E">
      <w:pPr>
        <w:ind w:left="360"/>
        <w:rPr>
          <w:sz w:val="20"/>
          <w:szCs w:val="20"/>
        </w:rPr>
      </w:pPr>
      <w:r>
        <w:rPr>
          <w:rFonts w:ascii="Calibri" w:eastAsia="Calibri" w:hAnsi="Calibri" w:cs="Calibri"/>
          <w:sz w:val="18"/>
          <w:szCs w:val="18"/>
        </w:rPr>
        <w:t>28.2. Odběratel a Poskytovatel se dohodli, že ustanovení §§ 1799 a 1800 zák. č. 89/2012 Sb. občanského zákoníku se nepoužijí.</w:t>
      </w:r>
    </w:p>
    <w:p w:rsidR="004F729E" w:rsidRDefault="004F729E" w:rsidP="004F729E">
      <w:pPr>
        <w:spacing w:line="133" w:lineRule="exact"/>
        <w:rPr>
          <w:sz w:val="20"/>
          <w:szCs w:val="20"/>
        </w:rPr>
      </w:pPr>
    </w:p>
    <w:p w:rsidR="004F729E" w:rsidRDefault="004F729E" w:rsidP="004F729E">
      <w:pPr>
        <w:spacing w:line="220" w:lineRule="auto"/>
        <w:ind w:left="800" w:right="20" w:hanging="438"/>
        <w:jc w:val="both"/>
        <w:rPr>
          <w:sz w:val="20"/>
          <w:szCs w:val="20"/>
        </w:rPr>
      </w:pPr>
      <w:r>
        <w:rPr>
          <w:rFonts w:ascii="Calibri" w:eastAsia="Calibri" w:hAnsi="Calibri" w:cs="Calibri"/>
          <w:sz w:val="18"/>
          <w:szCs w:val="18"/>
        </w:rPr>
        <w:t>28.3. Poskytovatel není oprávněn započítat jakékoli své pohledávky vzniklé či budoucí na základě a v souvislosti s touto smlouvou bez předchozího písemného souhlasu Odběratele.</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28.4. Čas plnění vznikajících na základě nebo v souvislosti s touto smlouvou je určen ve prospěch Odběratele.</w:t>
      </w:r>
    </w:p>
    <w:p w:rsidR="004F729E" w:rsidRDefault="004F729E" w:rsidP="004F729E">
      <w:pPr>
        <w:spacing w:line="134" w:lineRule="exact"/>
        <w:rPr>
          <w:sz w:val="20"/>
          <w:szCs w:val="20"/>
        </w:rPr>
      </w:pPr>
    </w:p>
    <w:p w:rsidR="004F729E" w:rsidRDefault="004F729E" w:rsidP="004F729E">
      <w:pPr>
        <w:spacing w:line="229" w:lineRule="auto"/>
        <w:ind w:left="800" w:right="20" w:hanging="438"/>
        <w:jc w:val="both"/>
        <w:rPr>
          <w:sz w:val="20"/>
          <w:szCs w:val="20"/>
        </w:rPr>
      </w:pPr>
      <w:r>
        <w:rPr>
          <w:rFonts w:ascii="Calibri" w:eastAsia="Calibri" w:hAnsi="Calibri" w:cs="Calibr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F729E" w:rsidRDefault="004F729E" w:rsidP="004F729E">
      <w:pPr>
        <w:spacing w:line="134" w:lineRule="exact"/>
        <w:rPr>
          <w:sz w:val="20"/>
          <w:szCs w:val="20"/>
        </w:rPr>
      </w:pPr>
    </w:p>
    <w:p w:rsidR="004F729E" w:rsidRDefault="004F729E" w:rsidP="004F729E">
      <w:pPr>
        <w:spacing w:line="234" w:lineRule="auto"/>
        <w:ind w:left="800" w:hanging="438"/>
        <w:jc w:val="both"/>
        <w:rPr>
          <w:sz w:val="20"/>
          <w:szCs w:val="20"/>
        </w:rPr>
      </w:pPr>
      <w:r>
        <w:rPr>
          <w:rFonts w:ascii="Calibri" w:eastAsia="Calibri" w:hAnsi="Calibri" w:cs="Calibr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F729E" w:rsidRDefault="004F729E" w:rsidP="004F729E">
      <w:pPr>
        <w:spacing w:line="91" w:lineRule="exact"/>
        <w:rPr>
          <w:sz w:val="20"/>
          <w:szCs w:val="20"/>
        </w:rPr>
      </w:pPr>
    </w:p>
    <w:p w:rsidR="004F729E" w:rsidRDefault="004F729E" w:rsidP="004F729E">
      <w:pPr>
        <w:ind w:left="360"/>
        <w:rPr>
          <w:sz w:val="20"/>
          <w:szCs w:val="20"/>
        </w:rPr>
      </w:pPr>
      <w:r>
        <w:rPr>
          <w:rFonts w:ascii="Calibri" w:eastAsia="Calibri" w:hAnsi="Calibri" w:cs="Calibri"/>
          <w:sz w:val="18"/>
          <w:szCs w:val="18"/>
        </w:rPr>
        <w:t>28.7. Smlouvu lze změnit či doplňovat pouze formou písemných dodatků odsouhlasených oběma smluvními stranami.</w:t>
      </w:r>
    </w:p>
    <w:p w:rsidR="004F729E" w:rsidRDefault="004F729E" w:rsidP="004F729E">
      <w:pPr>
        <w:spacing w:line="135" w:lineRule="exact"/>
        <w:rPr>
          <w:sz w:val="20"/>
          <w:szCs w:val="20"/>
        </w:rPr>
      </w:pPr>
    </w:p>
    <w:p w:rsidR="004F729E" w:rsidRDefault="004F729E" w:rsidP="004F729E">
      <w:pPr>
        <w:spacing w:line="229" w:lineRule="auto"/>
        <w:ind w:left="800" w:right="20" w:hanging="438"/>
        <w:jc w:val="both"/>
        <w:rPr>
          <w:sz w:val="20"/>
          <w:szCs w:val="20"/>
        </w:rPr>
      </w:pPr>
      <w:r>
        <w:rPr>
          <w:rFonts w:ascii="Calibri" w:eastAsia="Calibri" w:hAnsi="Calibri" w:cs="Calibr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bookmarkStart w:id="0" w:name="_GoBack"/>
    </w:p>
    <w:p w:rsidR="004F729E" w:rsidRDefault="004F729E" w:rsidP="004F729E">
      <w:pPr>
        <w:jc w:val="center"/>
        <w:rPr>
          <w:b/>
        </w:rPr>
      </w:pPr>
    </w:p>
    <w:p w:rsidR="004F729E" w:rsidRDefault="004F729E" w:rsidP="004F729E">
      <w:pPr>
        <w:jc w:val="center"/>
        <w:rPr>
          <w:b/>
        </w:rPr>
      </w:pPr>
    </w:p>
    <w:p w:rsidR="00414A6B" w:rsidRDefault="00414A6B" w:rsidP="004F729E">
      <w:pPr>
        <w:jc w:val="center"/>
        <w:rPr>
          <w:b/>
        </w:rPr>
      </w:pPr>
    </w:p>
    <w:p w:rsidR="00414A6B" w:rsidRDefault="00414A6B" w:rsidP="004F729E">
      <w:pPr>
        <w:jc w:val="center"/>
        <w:rPr>
          <w:b/>
        </w:rPr>
      </w:pPr>
    </w:p>
    <w:p w:rsidR="00414A6B" w:rsidRDefault="00414A6B" w:rsidP="004F729E">
      <w:pPr>
        <w:jc w:val="center"/>
        <w:rPr>
          <w:b/>
        </w:rPr>
      </w:pPr>
    </w:p>
    <w:p w:rsidR="00414A6B" w:rsidRDefault="00414A6B" w:rsidP="004F729E">
      <w:pPr>
        <w:jc w:val="center"/>
        <w:rPr>
          <w:b/>
        </w:rPr>
      </w:pPr>
    </w:p>
    <w:bookmarkEnd w:id="0"/>
    <w:p w:rsidR="004F729E" w:rsidRPr="006F1866" w:rsidRDefault="004F729E" w:rsidP="004F729E">
      <w:pPr>
        <w:jc w:val="center"/>
        <w:rPr>
          <w:b/>
        </w:rPr>
      </w:pPr>
      <w:r>
        <w:rPr>
          <w:b/>
        </w:rPr>
        <w:lastRenderedPageBreak/>
        <w:t>Prohlášení účastníka</w:t>
      </w:r>
      <w:r w:rsidRPr="006F1866">
        <w:rPr>
          <w:b/>
        </w:rPr>
        <w:t xml:space="preserve"> o akceptaci vybraných ustanovení </w:t>
      </w:r>
      <w:r>
        <w:rPr>
          <w:b/>
        </w:rPr>
        <w:t>Všeobecných nákupních</w:t>
      </w:r>
      <w:r w:rsidRPr="006F1866">
        <w:rPr>
          <w:b/>
        </w:rPr>
        <w:t xml:space="preserve"> podmínek</w:t>
      </w:r>
    </w:p>
    <w:p w:rsidR="004F729E" w:rsidRDefault="004F729E" w:rsidP="004F729E">
      <w:pPr>
        <w:pStyle w:val="Bezmezer"/>
        <w:rPr>
          <w:rFonts w:ascii="Arial" w:hAnsi="Arial" w:cs="Arial"/>
          <w:sz w:val="20"/>
          <w:szCs w:val="20"/>
        </w:rPr>
      </w:pPr>
    </w:p>
    <w:p w:rsidR="004F729E" w:rsidRPr="006F1866" w:rsidRDefault="004F729E" w:rsidP="004F729E">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smlouvy, </w:t>
      </w:r>
      <w:r w:rsidRPr="00D600B4">
        <w:t>smlouvy</w:t>
      </w:r>
      <w:r w:rsidRPr="00D600B4">
        <w:rPr>
          <w:rFonts w:ascii="Arial" w:hAnsi="Arial" w:cs="Arial"/>
          <w:sz w:val="20"/>
          <w:szCs w:val="20"/>
        </w:rPr>
        <w:t xml:space="preserve"> o dílo, smlouvy o poskytování služeb či smluv těmto smlouvám obdobným (dále jen „Smlouva“) 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rsidR="004F729E" w:rsidRPr="006F1866" w:rsidRDefault="004F729E" w:rsidP="004F729E">
      <w:pPr>
        <w:pStyle w:val="Default"/>
        <w:rPr>
          <w:sz w:val="20"/>
          <w:szCs w:val="20"/>
        </w:rPr>
      </w:pPr>
    </w:p>
    <w:p w:rsidR="004F729E" w:rsidRPr="006F1866" w:rsidRDefault="004F729E" w:rsidP="004F729E">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4F729E" w:rsidRDefault="004F729E" w:rsidP="004F729E"/>
    <w:p w:rsidR="004F729E" w:rsidRPr="00D63106" w:rsidRDefault="004F729E" w:rsidP="004F729E">
      <w:pPr>
        <w:jc w:val="both"/>
        <w:rPr>
          <w:b/>
        </w:rPr>
      </w:pPr>
      <w:r w:rsidRPr="00D63106">
        <w:rPr>
          <w:b/>
        </w:rPr>
        <w:t>Článek 1.3 (pořadí přednosti ustanovení jednotlivých dokumentů smlouvy)</w:t>
      </w:r>
    </w:p>
    <w:p w:rsidR="004F729E" w:rsidRPr="00D63106" w:rsidRDefault="004F729E" w:rsidP="004F729E">
      <w:pPr>
        <w:jc w:val="both"/>
      </w:pPr>
      <w:r w:rsidRPr="00D63106">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D63106" w:rsidRDefault="004F729E" w:rsidP="004F729E">
      <w:pPr>
        <w:jc w:val="both"/>
      </w:pPr>
      <w:r w:rsidRPr="00D63106">
        <w:t xml:space="preserve">1.3.1. ustanovení Smlouvy nebo příslušné objednávky včetně event. dohodnutých příloh ohledně ochrany dat a požadavků na informační bezpečnost, technických a organizačních opatření pro ochranu dat; </w:t>
      </w:r>
    </w:p>
    <w:p w:rsidR="004F729E" w:rsidRPr="00D63106" w:rsidRDefault="004F729E" w:rsidP="004F729E">
      <w:pPr>
        <w:jc w:val="both"/>
      </w:pPr>
      <w:r w:rsidRPr="00D63106">
        <w:t xml:space="preserve">1.3.2. další podmínky smlouvy, stanovené ve smlouvě nebo objednávce, </w:t>
      </w:r>
    </w:p>
    <w:p w:rsidR="004F729E" w:rsidRDefault="004F729E" w:rsidP="004F729E">
      <w:pPr>
        <w:jc w:val="both"/>
      </w:pPr>
      <w:r w:rsidRPr="00D63106">
        <w:t>1.3.3. tyto Všeobecné podmínky</w:t>
      </w:r>
    </w:p>
    <w:p w:rsidR="004F729E" w:rsidRDefault="004F729E" w:rsidP="004F729E">
      <w:pPr>
        <w:jc w:val="both"/>
      </w:pPr>
    </w:p>
    <w:p w:rsidR="004F729E" w:rsidRPr="00DE2B85" w:rsidRDefault="004F729E" w:rsidP="004F729E">
      <w:pPr>
        <w:jc w:val="both"/>
        <w:rPr>
          <w:b/>
        </w:rPr>
      </w:pPr>
      <w:r w:rsidRPr="00DE2B85">
        <w:rPr>
          <w:b/>
        </w:rPr>
        <w:t>Článek 1.4 (třetí a čtvrtá věta)</w:t>
      </w:r>
    </w:p>
    <w:p w:rsidR="004F729E" w:rsidRDefault="004F729E" w:rsidP="004F729E">
      <w:pPr>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Default="004F729E" w:rsidP="004F729E">
      <w:pPr>
        <w:jc w:val="both"/>
      </w:pPr>
    </w:p>
    <w:p w:rsidR="004F729E" w:rsidRPr="0080655D" w:rsidRDefault="004F729E" w:rsidP="004F729E">
      <w:pPr>
        <w:jc w:val="both"/>
        <w:rPr>
          <w:b/>
        </w:rPr>
      </w:pPr>
      <w:r w:rsidRPr="0080655D">
        <w:rPr>
          <w:b/>
        </w:rPr>
        <w:t>Článek 1.5</w:t>
      </w:r>
    </w:p>
    <w:p w:rsidR="004F729E" w:rsidRDefault="004F729E" w:rsidP="004F729E">
      <w:pPr>
        <w:jc w:val="both"/>
      </w:pPr>
      <w:r>
        <w:t xml:space="preserve">Tyto VNP, stejně jako jiné obchodní podmínky odběratele, na které se smlouva ve smyslu § 1751 zák. č. 89/2012 Sb. odkazuje (společně dále jen „obchodní podmínky“), Objednatel zveřejňuje na internetové adrese: </w:t>
      </w:r>
    </w:p>
    <w:p w:rsidR="004F729E" w:rsidRPr="00672106" w:rsidRDefault="004F729E" w:rsidP="004F729E">
      <w:pPr>
        <w:jc w:val="both"/>
      </w:pPr>
    </w:p>
    <w:p w:rsidR="004F729E" w:rsidRDefault="004F729E" w:rsidP="004F729E">
      <w:pPr>
        <w:jc w:val="both"/>
      </w:pPr>
      <w:r w:rsidRPr="00672106">
        <w:t xml:space="preserve"> </w:t>
      </w:r>
      <w:hyperlink r:id="rId14" w:history="1">
        <w:r w:rsidRPr="00EA119C">
          <w:rPr>
            <w:rStyle w:val="Hypertextovodkaz"/>
          </w:rPr>
          <w:t>http://www.eon.cz/o-nas/o-skupine-eon/pro-partnery/vseobecne-nakupni-podminky</w:t>
        </w:r>
      </w:hyperlink>
    </w:p>
    <w:p w:rsidR="004F729E" w:rsidRDefault="004F729E" w:rsidP="004F729E">
      <w:pPr>
        <w:jc w:val="both"/>
      </w:pPr>
    </w:p>
    <w:p w:rsidR="004F729E" w:rsidRDefault="004F729E" w:rsidP="004F729E">
      <w:pPr>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Default="004F729E" w:rsidP="004F729E">
      <w:pPr>
        <w:jc w:val="both"/>
      </w:pPr>
    </w:p>
    <w:p w:rsidR="004F729E" w:rsidRPr="00FC72F8" w:rsidRDefault="004F729E" w:rsidP="004F729E">
      <w:pPr>
        <w:jc w:val="both"/>
        <w:rPr>
          <w:b/>
        </w:rPr>
      </w:pPr>
      <w:r>
        <w:rPr>
          <w:b/>
        </w:rPr>
        <w:t>Článek 3.1</w:t>
      </w:r>
    </w:p>
    <w:p w:rsidR="004F729E" w:rsidRDefault="004F729E" w:rsidP="004F729E">
      <w:pPr>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Default="004F729E" w:rsidP="004F729E">
      <w:pPr>
        <w:jc w:val="both"/>
      </w:pPr>
    </w:p>
    <w:p w:rsidR="004F729E" w:rsidRPr="00820567" w:rsidRDefault="004F729E" w:rsidP="004F729E">
      <w:pPr>
        <w:jc w:val="both"/>
        <w:rPr>
          <w:b/>
        </w:rPr>
      </w:pPr>
      <w:r>
        <w:rPr>
          <w:b/>
        </w:rPr>
        <w:br/>
      </w:r>
      <w:r w:rsidRPr="00820567">
        <w:rPr>
          <w:b/>
        </w:rPr>
        <w:t>Článek 3.5 (druhá věta)</w:t>
      </w:r>
    </w:p>
    <w:p w:rsidR="004F729E" w:rsidRDefault="004F729E" w:rsidP="004F729E">
      <w:pPr>
        <w:jc w:val="both"/>
      </w:pPr>
      <w:r>
        <w:t>Na přání odběratele Poskytovatel předloží odpovídající doklady o kvalifikaci osob a provedených preventivních zdravotních prohlídkách svých zaměstnanců a zaměstnanců svých poddodavatelů.</w:t>
      </w:r>
    </w:p>
    <w:p w:rsidR="004F729E" w:rsidRDefault="004F729E" w:rsidP="004F729E">
      <w:pPr>
        <w:jc w:val="both"/>
      </w:pPr>
    </w:p>
    <w:p w:rsidR="004F729E" w:rsidRPr="001B6B6D" w:rsidRDefault="004F729E" w:rsidP="004F729E">
      <w:pPr>
        <w:jc w:val="both"/>
        <w:rPr>
          <w:b/>
        </w:rPr>
      </w:pPr>
      <w:r w:rsidRPr="001B6B6D">
        <w:rPr>
          <w:b/>
        </w:rPr>
        <w:t>Článek 3.6 (první věta)</w:t>
      </w:r>
    </w:p>
    <w:p w:rsidR="004F729E" w:rsidRDefault="004F729E" w:rsidP="004F729E">
      <w:pPr>
        <w:jc w:val="both"/>
      </w:pPr>
      <w:r>
        <w:lastRenderedPageBreak/>
        <w:t>Odběratel má právo v závažných případech požadovat výměnu personálu Poskytovatele.</w:t>
      </w:r>
    </w:p>
    <w:p w:rsidR="004F729E" w:rsidRDefault="004F729E" w:rsidP="004F729E">
      <w:pPr>
        <w:jc w:val="both"/>
      </w:pPr>
    </w:p>
    <w:p w:rsidR="004F729E" w:rsidRPr="00B44AD0" w:rsidRDefault="004F729E" w:rsidP="004F729E">
      <w:pPr>
        <w:jc w:val="both"/>
        <w:rPr>
          <w:b/>
        </w:rPr>
      </w:pPr>
      <w:r w:rsidRPr="00B44AD0">
        <w:rPr>
          <w:b/>
        </w:rPr>
        <w:t>Článek 5.3. (třetí, čtvrtá a pátá věta)</w:t>
      </w:r>
    </w:p>
    <w:p w:rsidR="004F729E" w:rsidRDefault="004F729E" w:rsidP="004F729E">
      <w:pPr>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5"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Default="004F729E" w:rsidP="004F729E">
      <w:pPr>
        <w:jc w:val="both"/>
      </w:pPr>
    </w:p>
    <w:p w:rsidR="004F729E" w:rsidRPr="00343854" w:rsidRDefault="004F729E" w:rsidP="004F729E">
      <w:pPr>
        <w:jc w:val="both"/>
        <w:rPr>
          <w:b/>
        </w:rPr>
      </w:pPr>
      <w:r w:rsidRPr="00343854">
        <w:rPr>
          <w:b/>
        </w:rPr>
        <w:t>Článek 5.9 (první a třetí věta)</w:t>
      </w:r>
    </w:p>
    <w:p w:rsidR="004F729E" w:rsidRDefault="004F729E" w:rsidP="004F729E">
      <w:pPr>
        <w:jc w:val="both"/>
      </w:pPr>
      <w:r>
        <w:t>Poskytovatel bude evidovat všechny pracovní úrazy a úrazy během služební cesty svých zaměstnanců, resp. zaměstnanců svých poddodavatelů.</w:t>
      </w:r>
    </w:p>
    <w:p w:rsidR="004F729E" w:rsidRDefault="004F729E" w:rsidP="004F729E">
      <w:pPr>
        <w:jc w:val="both"/>
      </w:pPr>
    </w:p>
    <w:p w:rsidR="004F729E" w:rsidRDefault="004F729E" w:rsidP="004F729E">
      <w:pPr>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4F729E" w:rsidRDefault="004F729E" w:rsidP="004F729E">
      <w:pPr>
        <w:jc w:val="both"/>
        <w:rPr>
          <w:b/>
        </w:rPr>
      </w:pPr>
    </w:p>
    <w:p w:rsidR="004F729E" w:rsidRPr="005102A7" w:rsidRDefault="004F729E" w:rsidP="004F729E">
      <w:pPr>
        <w:jc w:val="both"/>
        <w:rPr>
          <w:b/>
        </w:rPr>
      </w:pPr>
      <w:r w:rsidRPr="005102A7">
        <w:rPr>
          <w:b/>
        </w:rPr>
        <w:t>Článek 7.6</w:t>
      </w:r>
    </w:p>
    <w:p w:rsidR="004F729E" w:rsidRDefault="004F729E" w:rsidP="004F729E">
      <w:pPr>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Default="004F729E" w:rsidP="004F729E">
      <w:pPr>
        <w:jc w:val="both"/>
      </w:pPr>
    </w:p>
    <w:p w:rsidR="004F729E" w:rsidRPr="00BC352F" w:rsidRDefault="004F729E" w:rsidP="004F729E">
      <w:pPr>
        <w:jc w:val="both"/>
        <w:rPr>
          <w:b/>
        </w:rPr>
      </w:pPr>
      <w:r w:rsidRPr="00BC352F">
        <w:rPr>
          <w:b/>
        </w:rPr>
        <w:t>Článek 8.2 (druhá věta)</w:t>
      </w:r>
    </w:p>
    <w:p w:rsidR="004F729E" w:rsidRDefault="004F729E" w:rsidP="004F729E">
      <w:pPr>
        <w:jc w:val="both"/>
      </w:pPr>
      <w:r>
        <w:t>Nebezpečí škody na věci však na Odběratele nepřechází dříve než protokolárním předáním věci Odběrateli bez ohledu na to, kdy měl věc přejmout.</w:t>
      </w:r>
    </w:p>
    <w:p w:rsidR="004F729E" w:rsidRDefault="004F729E" w:rsidP="004F729E">
      <w:pPr>
        <w:jc w:val="both"/>
      </w:pPr>
    </w:p>
    <w:p w:rsidR="004F729E" w:rsidRPr="00BC352F" w:rsidRDefault="004F729E" w:rsidP="004F729E">
      <w:pPr>
        <w:jc w:val="both"/>
        <w:rPr>
          <w:b/>
        </w:rPr>
      </w:pPr>
      <w:r w:rsidRPr="00BC352F">
        <w:rPr>
          <w:b/>
        </w:rPr>
        <w:t>Článek. 8.3</w:t>
      </w:r>
    </w:p>
    <w:p w:rsidR="004F729E" w:rsidRDefault="004F729E" w:rsidP="004F729E">
      <w:pPr>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Default="004F729E" w:rsidP="004F729E">
      <w:pPr>
        <w:jc w:val="both"/>
      </w:pPr>
    </w:p>
    <w:p w:rsidR="004F729E" w:rsidRPr="00BC352F" w:rsidRDefault="004F729E" w:rsidP="004F729E">
      <w:pPr>
        <w:jc w:val="both"/>
        <w:rPr>
          <w:b/>
        </w:rPr>
      </w:pPr>
      <w:r w:rsidRPr="00BC352F">
        <w:rPr>
          <w:b/>
        </w:rPr>
        <w:t>Článek 8.4</w:t>
      </w:r>
    </w:p>
    <w:p w:rsidR="004F729E" w:rsidRDefault="004F729E" w:rsidP="004F729E">
      <w:pPr>
        <w:jc w:val="both"/>
      </w:pPr>
      <w:r>
        <w:t>Je-li předmětem plnění smlouvy údržba, oprava či úprava věci, nese po dobu trvání smlouvy nebezpečí škody na této věci Poskytovatel.</w:t>
      </w:r>
    </w:p>
    <w:p w:rsidR="004F729E" w:rsidRDefault="004F729E" w:rsidP="004F729E">
      <w:pPr>
        <w:jc w:val="both"/>
      </w:pPr>
    </w:p>
    <w:p w:rsidR="004F729E" w:rsidRPr="00BC352F" w:rsidRDefault="004F729E" w:rsidP="004F729E">
      <w:pPr>
        <w:jc w:val="both"/>
        <w:rPr>
          <w:b/>
        </w:rPr>
      </w:pPr>
      <w:r w:rsidRPr="00BC352F">
        <w:rPr>
          <w:b/>
        </w:rPr>
        <w:t>Článek 8.5</w:t>
      </w:r>
    </w:p>
    <w:p w:rsidR="004F729E" w:rsidRDefault="004F729E" w:rsidP="004F729E">
      <w:pPr>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0945F0" w:rsidRDefault="004F729E" w:rsidP="004F729E">
      <w:pPr>
        <w:jc w:val="both"/>
        <w:rPr>
          <w:b/>
        </w:rPr>
      </w:pPr>
      <w:r w:rsidRPr="000945F0">
        <w:rPr>
          <w:b/>
        </w:rPr>
        <w:t>Článek 9</w:t>
      </w:r>
    </w:p>
    <w:p w:rsidR="004F729E" w:rsidRDefault="004F729E" w:rsidP="004F729E">
      <w:pPr>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Default="004F729E" w:rsidP="004F729E">
      <w:pPr>
        <w:jc w:val="both"/>
      </w:pPr>
    </w:p>
    <w:p w:rsidR="004F729E" w:rsidRPr="00606372" w:rsidRDefault="004F729E" w:rsidP="004F729E">
      <w:pPr>
        <w:jc w:val="both"/>
        <w:rPr>
          <w:b/>
        </w:rPr>
      </w:pPr>
      <w:r w:rsidRPr="00606372">
        <w:rPr>
          <w:b/>
        </w:rPr>
        <w:t>Článek 11.1</w:t>
      </w:r>
    </w:p>
    <w:p w:rsidR="004F729E" w:rsidRDefault="004F729E" w:rsidP="004F729E">
      <w:pPr>
        <w:jc w:val="both"/>
      </w:pPr>
      <w:r>
        <w:t>Bez ohledu na to, zda je dodáním zboží s vadami, předáním díla s vadami či dodáním jiného vadného plnění smlouva porušena podstatným způsobem či nikoli, může Odběratel:</w:t>
      </w:r>
    </w:p>
    <w:p w:rsidR="004F729E" w:rsidRDefault="004F729E" w:rsidP="004F729E">
      <w:pPr>
        <w:ind w:left="708"/>
        <w:jc w:val="both"/>
      </w:pPr>
      <w:r>
        <w:lastRenderedPageBreak/>
        <w:t>a) požadovat odstranění vad dodáním náhradního zboží, díla, výkonu či práce (dále jen „předmět plnění“) za vadný předmět plnění, dodání chybějící části předmětu plnění a požadovat odstranění právních vad,</w:t>
      </w:r>
    </w:p>
    <w:p w:rsidR="004F729E" w:rsidRDefault="004F729E" w:rsidP="004F729E">
      <w:pPr>
        <w:ind w:left="708"/>
        <w:jc w:val="both"/>
      </w:pPr>
      <w:r>
        <w:t>b) požadovat odstranění vad předmětu plnění opravou zboží, je-li to z povahy věci možné, a jestliže vady jsou opravitelné,</w:t>
      </w:r>
    </w:p>
    <w:p w:rsidR="004F729E" w:rsidRDefault="004F729E" w:rsidP="004F729E">
      <w:pPr>
        <w:ind w:firstLine="708"/>
        <w:jc w:val="both"/>
      </w:pPr>
      <w:r>
        <w:t>c) požadovat přiměřenou slevu z ceny předmětu plnění, nebo</w:t>
      </w:r>
    </w:p>
    <w:p w:rsidR="004F729E" w:rsidRDefault="004F729E" w:rsidP="004F729E">
      <w:pPr>
        <w:ind w:firstLine="708"/>
        <w:jc w:val="both"/>
      </w:pPr>
      <w:r>
        <w:t>d) odstoupit od smlouvy.</w:t>
      </w:r>
    </w:p>
    <w:p w:rsidR="004F729E" w:rsidRDefault="004F729E" w:rsidP="004F729E">
      <w:pPr>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Default="004F729E" w:rsidP="004F729E">
      <w:pPr>
        <w:jc w:val="both"/>
      </w:pPr>
    </w:p>
    <w:p w:rsidR="004F729E" w:rsidRPr="00BF3776" w:rsidRDefault="004F729E" w:rsidP="004F729E">
      <w:pPr>
        <w:jc w:val="both"/>
        <w:rPr>
          <w:b/>
        </w:rPr>
      </w:pPr>
      <w:r w:rsidRPr="00BF3776">
        <w:rPr>
          <w:b/>
        </w:rPr>
        <w:t>Článek 11.2</w:t>
      </w:r>
    </w:p>
    <w:p w:rsidR="004F729E" w:rsidRDefault="004F729E" w:rsidP="004F729E">
      <w:pPr>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Default="004F729E" w:rsidP="004F729E">
      <w:pPr>
        <w:jc w:val="both"/>
      </w:pPr>
    </w:p>
    <w:p w:rsidR="004F729E" w:rsidRPr="00BF3776" w:rsidRDefault="004F729E" w:rsidP="004F729E">
      <w:pPr>
        <w:jc w:val="both"/>
        <w:rPr>
          <w:b/>
        </w:rPr>
      </w:pPr>
      <w:r w:rsidRPr="00BF3776">
        <w:rPr>
          <w:b/>
        </w:rPr>
        <w:t>Článek 11.3</w:t>
      </w:r>
    </w:p>
    <w:p w:rsidR="004F729E" w:rsidRDefault="004F729E" w:rsidP="004F729E">
      <w:pPr>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Default="004F729E" w:rsidP="004F729E">
      <w:pPr>
        <w:jc w:val="both"/>
      </w:pPr>
    </w:p>
    <w:p w:rsidR="004F729E" w:rsidRPr="0013179A" w:rsidRDefault="004F729E" w:rsidP="004F729E">
      <w:pPr>
        <w:jc w:val="both"/>
        <w:rPr>
          <w:b/>
        </w:rPr>
      </w:pPr>
      <w:r w:rsidRPr="0013179A">
        <w:rPr>
          <w:b/>
        </w:rPr>
        <w:t>Článek 11.5</w:t>
      </w:r>
    </w:p>
    <w:p w:rsidR="004F729E" w:rsidRDefault="004F729E" w:rsidP="004F729E">
      <w:pPr>
        <w:jc w:val="both"/>
      </w:pPr>
      <w:r>
        <w:t>Změní-li se části předmětu plnění smlouvy v rámci uplatňování nároků z vad nebo budou-li nahrazeny odlišnými částmi, je Poskytovatel povinen na své náklady změnit nebo vyměnit odpovídající náhradní a rezervní díly.</w:t>
      </w:r>
    </w:p>
    <w:p w:rsidR="004F729E" w:rsidRDefault="004F729E" w:rsidP="004F729E">
      <w:pPr>
        <w:jc w:val="both"/>
      </w:pPr>
    </w:p>
    <w:p w:rsidR="004F729E" w:rsidRPr="00FD296C" w:rsidRDefault="004F729E" w:rsidP="004F729E">
      <w:pPr>
        <w:jc w:val="both"/>
        <w:rPr>
          <w:b/>
        </w:rPr>
      </w:pPr>
      <w:r w:rsidRPr="00FD296C">
        <w:rPr>
          <w:b/>
        </w:rPr>
        <w:t>Článek 11.6</w:t>
      </w:r>
    </w:p>
    <w:p w:rsidR="004F729E" w:rsidRDefault="004F729E" w:rsidP="004F729E">
      <w:pPr>
        <w:jc w:val="both"/>
      </w:pPr>
      <w:r>
        <w:t>V případě odstoupení od smlouvy nese Dodavatel náklady na případnou demontáž/odstranění předmětu plnění, je-li takového úkonu zapotřebí, nese náklady na jeho další přepravu a odpovídá za jeho likvidaci.</w:t>
      </w:r>
    </w:p>
    <w:p w:rsidR="004F729E" w:rsidRDefault="004F729E" w:rsidP="004F729E">
      <w:pPr>
        <w:jc w:val="both"/>
      </w:pPr>
    </w:p>
    <w:p w:rsidR="004F729E" w:rsidRPr="007C234E" w:rsidRDefault="004F729E" w:rsidP="004F729E">
      <w:pPr>
        <w:jc w:val="both"/>
        <w:rPr>
          <w:b/>
        </w:rPr>
      </w:pPr>
      <w:r w:rsidRPr="007C234E">
        <w:rPr>
          <w:b/>
        </w:rPr>
        <w:t>Článek 11.7</w:t>
      </w:r>
    </w:p>
    <w:p w:rsidR="004F729E" w:rsidRDefault="004F729E" w:rsidP="004F729E">
      <w:pPr>
        <w:jc w:val="both"/>
      </w:pPr>
      <w:r>
        <w:t>Promlčecí lhůta u nároků z vad se prodlužuje o období nacházející se mezi doručením oznámení o reklamaci vady a jejím odstraněním.</w:t>
      </w:r>
    </w:p>
    <w:p w:rsidR="004F729E" w:rsidRDefault="004F729E" w:rsidP="004F729E">
      <w:pPr>
        <w:jc w:val="both"/>
      </w:pPr>
    </w:p>
    <w:p w:rsidR="004F729E" w:rsidRPr="00BA6FF9" w:rsidRDefault="004F729E" w:rsidP="004F729E">
      <w:pPr>
        <w:jc w:val="both"/>
        <w:rPr>
          <w:b/>
        </w:rPr>
      </w:pPr>
      <w:r w:rsidRPr="00BA6FF9">
        <w:rPr>
          <w:b/>
        </w:rPr>
        <w:t>Článek 14</w:t>
      </w:r>
    </w:p>
    <w:p w:rsidR="004F729E" w:rsidRDefault="004F729E" w:rsidP="004F729E">
      <w:pPr>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Default="004F729E" w:rsidP="004F729E">
      <w:pPr>
        <w:jc w:val="both"/>
      </w:pPr>
    </w:p>
    <w:p w:rsidR="004F729E" w:rsidRDefault="004F729E" w:rsidP="004F729E">
      <w:pPr>
        <w:jc w:val="both"/>
        <w:rPr>
          <w:b/>
        </w:rPr>
      </w:pPr>
    </w:p>
    <w:p w:rsidR="004F729E" w:rsidRDefault="004F729E" w:rsidP="004F729E">
      <w:pPr>
        <w:jc w:val="both"/>
      </w:pPr>
      <w:r w:rsidRPr="004A511F">
        <w:rPr>
          <w:b/>
        </w:rPr>
        <w:t>Článek 15.7</w:t>
      </w:r>
      <w:r w:rsidRPr="004A511F">
        <w:t xml:space="preserve"> </w:t>
      </w:r>
      <w:r>
        <w:t>(třetí, čtvrtá a pátá věta)</w:t>
      </w:r>
    </w:p>
    <w:p w:rsidR="004F729E" w:rsidRDefault="004F729E" w:rsidP="004F729E">
      <w:pPr>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4F729E" w:rsidRDefault="004F729E" w:rsidP="004F729E">
      <w:pPr>
        <w:jc w:val="both"/>
      </w:pPr>
    </w:p>
    <w:p w:rsidR="004F729E" w:rsidRPr="00DE2B85" w:rsidRDefault="004F729E" w:rsidP="004F729E">
      <w:pPr>
        <w:jc w:val="both"/>
        <w:rPr>
          <w:b/>
        </w:rPr>
      </w:pPr>
      <w:r w:rsidRPr="00DE2B85">
        <w:rPr>
          <w:b/>
        </w:rPr>
        <w:t>Článek 16.6</w:t>
      </w:r>
    </w:p>
    <w:p w:rsidR="004F729E" w:rsidRDefault="004F729E" w:rsidP="004F729E">
      <w:pPr>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Default="004F729E" w:rsidP="004F729E">
      <w:pPr>
        <w:jc w:val="both"/>
      </w:pPr>
    </w:p>
    <w:p w:rsidR="004F729E" w:rsidRPr="00E22FE1" w:rsidRDefault="004F729E" w:rsidP="004F729E">
      <w:pPr>
        <w:jc w:val="both"/>
        <w:rPr>
          <w:b/>
        </w:rPr>
      </w:pPr>
      <w:r w:rsidRPr="00E22FE1">
        <w:rPr>
          <w:b/>
        </w:rPr>
        <w:t>Článek 17</w:t>
      </w:r>
    </w:p>
    <w:p w:rsidR="004F729E" w:rsidRDefault="004F729E" w:rsidP="004F729E">
      <w:pPr>
        <w:jc w:val="both"/>
      </w:pPr>
      <w:r>
        <w:t xml:space="preserve">Poskytovatel musí mít po celou dobu trvání smlouvy, včetně záručních dob a promlčecích lhůt pro případ nároků z vad či pro případ jiných nároků Odběratele, sjednáno pojištění odpovědnosti za škodu způsobenou provozní </w:t>
      </w:r>
      <w:r>
        <w:lastRenderedPageBreak/>
        <w:t>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Default="004F729E" w:rsidP="004F729E">
      <w:pPr>
        <w:jc w:val="both"/>
      </w:pPr>
    </w:p>
    <w:p w:rsidR="004F729E" w:rsidRPr="009E4700" w:rsidRDefault="004F729E" w:rsidP="004F729E">
      <w:pPr>
        <w:jc w:val="both"/>
        <w:rPr>
          <w:b/>
        </w:rPr>
      </w:pPr>
      <w:r w:rsidRPr="009E4700">
        <w:rPr>
          <w:b/>
        </w:rPr>
        <w:t>Článek 19.2</w:t>
      </w:r>
    </w:p>
    <w:p w:rsidR="004F729E" w:rsidRDefault="004F729E" w:rsidP="004F729E">
      <w:pPr>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Default="004F729E" w:rsidP="004F729E">
      <w:pPr>
        <w:jc w:val="both"/>
      </w:pPr>
    </w:p>
    <w:p w:rsidR="004F729E" w:rsidRPr="008846EF" w:rsidRDefault="004F729E" w:rsidP="004F729E">
      <w:pPr>
        <w:jc w:val="both"/>
        <w:rPr>
          <w:b/>
        </w:rPr>
      </w:pPr>
      <w:r w:rsidRPr="008846EF">
        <w:rPr>
          <w:b/>
        </w:rPr>
        <w:t>Článek 19.4</w:t>
      </w:r>
    </w:p>
    <w:p w:rsidR="004F729E" w:rsidRDefault="004F729E" w:rsidP="004F729E">
      <w:pPr>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F729E" w:rsidRDefault="004F729E" w:rsidP="004F729E">
      <w:pPr>
        <w:pStyle w:val="Odstavecseseznamem"/>
        <w:numPr>
          <w:ilvl w:val="0"/>
          <w:numId w:val="32"/>
        </w:numPr>
        <w:ind w:left="714" w:hanging="357"/>
        <w:contextualSpacing w:val="0"/>
        <w:jc w:val="both"/>
      </w:pPr>
      <w:r>
        <w:t>tak, jak je stanoví zák.č.89/2012 Sb., občanského zákoníku, zejména ve svém ustanovení § 2001 a násl., nebo zda</w:t>
      </w:r>
    </w:p>
    <w:p w:rsidR="004F729E" w:rsidRDefault="004F729E" w:rsidP="004F729E">
      <w:pPr>
        <w:pStyle w:val="Odstavecseseznamem"/>
        <w:numPr>
          <w:ilvl w:val="0"/>
          <w:numId w:val="32"/>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rsidR="004F729E" w:rsidRDefault="004F729E" w:rsidP="004F729E">
      <w:pPr>
        <w:jc w:val="both"/>
      </w:pPr>
    </w:p>
    <w:p w:rsidR="004F729E" w:rsidRPr="0016058B" w:rsidRDefault="004F729E" w:rsidP="004F729E">
      <w:pPr>
        <w:jc w:val="both"/>
        <w:rPr>
          <w:b/>
        </w:rPr>
      </w:pPr>
      <w:r w:rsidRPr="0016058B">
        <w:rPr>
          <w:b/>
        </w:rPr>
        <w:t>Článek 19.5</w:t>
      </w:r>
    </w:p>
    <w:p w:rsidR="004F729E" w:rsidRDefault="004F729E" w:rsidP="004F729E">
      <w:pPr>
        <w:jc w:val="both"/>
      </w:pPr>
      <w:r>
        <w:t>V případě, že Odběratel v rámci odstoupení od smlouvy zvolí variantu uvedenou v odstavci 19.4. těchto VNP pod písmenem b), bude Poskytovatel povinen:</w:t>
      </w:r>
    </w:p>
    <w:p w:rsidR="004F729E" w:rsidRDefault="004F729E" w:rsidP="004F729E">
      <w:pPr>
        <w:pStyle w:val="Odstavecseseznamem"/>
        <w:numPr>
          <w:ilvl w:val="0"/>
          <w:numId w:val="3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4F729E" w:rsidRDefault="004F729E" w:rsidP="004F729E">
      <w:pPr>
        <w:pStyle w:val="Odstavecseseznamem"/>
        <w:numPr>
          <w:ilvl w:val="0"/>
          <w:numId w:val="33"/>
        </w:numPr>
        <w:ind w:left="714" w:hanging="357"/>
        <w:contextualSpacing w:val="0"/>
        <w:jc w:val="both"/>
      </w:pPr>
      <w:r>
        <w:t xml:space="preserve">předat Odběrateli všechny části předmětu plnění smlouvy realizované Poskytovatelem do data odstoupení, </w:t>
      </w:r>
    </w:p>
    <w:p w:rsidR="004F729E" w:rsidRDefault="004F729E" w:rsidP="004F729E">
      <w:pPr>
        <w:pStyle w:val="Odstavecseseznamem"/>
        <w:numPr>
          <w:ilvl w:val="0"/>
          <w:numId w:val="33"/>
        </w:numPr>
        <w:ind w:left="714" w:hanging="357"/>
        <w:contextualSpacing w:val="0"/>
        <w:jc w:val="both"/>
      </w:pPr>
      <w:r>
        <w:t xml:space="preserve">ukončit všechny smlouvy s poddodavateli, kromě těch, které mají být Odběrateli postoupeny podle písmene d) níže, </w:t>
      </w:r>
    </w:p>
    <w:p w:rsidR="004F729E" w:rsidRDefault="004F729E" w:rsidP="004F729E">
      <w:pPr>
        <w:pStyle w:val="Odstavecseseznamem"/>
        <w:numPr>
          <w:ilvl w:val="0"/>
          <w:numId w:val="3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4F729E" w:rsidRDefault="004F729E" w:rsidP="004F729E">
      <w:pPr>
        <w:pStyle w:val="Odstavecseseznamem"/>
        <w:numPr>
          <w:ilvl w:val="0"/>
          <w:numId w:val="3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4F729E" w:rsidRDefault="004F729E" w:rsidP="004F729E">
      <w:pPr>
        <w:jc w:val="both"/>
      </w:pPr>
    </w:p>
    <w:p w:rsidR="004F729E" w:rsidRPr="00142940" w:rsidRDefault="004F729E" w:rsidP="004F729E">
      <w:pPr>
        <w:jc w:val="both"/>
        <w:rPr>
          <w:b/>
        </w:rPr>
      </w:pPr>
      <w:r w:rsidRPr="00142940">
        <w:rPr>
          <w:b/>
        </w:rPr>
        <w:t>Článek 19.6</w:t>
      </w:r>
    </w:p>
    <w:p w:rsidR="004F729E" w:rsidRDefault="004F729E" w:rsidP="004F729E">
      <w:pPr>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Default="004F729E" w:rsidP="004F729E">
      <w:pPr>
        <w:jc w:val="both"/>
      </w:pPr>
    </w:p>
    <w:p w:rsidR="004F729E" w:rsidRPr="0080655D" w:rsidRDefault="004F729E" w:rsidP="004F729E">
      <w:pPr>
        <w:jc w:val="both"/>
        <w:rPr>
          <w:b/>
        </w:rPr>
      </w:pPr>
      <w:r w:rsidRPr="0080655D">
        <w:rPr>
          <w:b/>
        </w:rPr>
        <w:t>Článek 27.1</w:t>
      </w:r>
    </w:p>
    <w:p w:rsidR="004F729E" w:rsidRDefault="004F729E" w:rsidP="004F729E">
      <w:pPr>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Default="004F729E" w:rsidP="004F729E">
      <w:pPr>
        <w:jc w:val="both"/>
      </w:pPr>
    </w:p>
    <w:p w:rsidR="004F729E" w:rsidRPr="008C3CCF" w:rsidRDefault="004F729E" w:rsidP="004F729E">
      <w:pPr>
        <w:jc w:val="both"/>
        <w:rPr>
          <w:b/>
        </w:rPr>
      </w:pPr>
      <w:r w:rsidRPr="008C3CCF">
        <w:rPr>
          <w:b/>
        </w:rPr>
        <w:lastRenderedPageBreak/>
        <w:t>Článek 28.1</w:t>
      </w:r>
    </w:p>
    <w:p w:rsidR="004F729E" w:rsidRDefault="004F729E" w:rsidP="004F729E">
      <w:pPr>
        <w:jc w:val="both"/>
      </w:pPr>
      <w:r>
        <w:t>Poskytovatel tímto prohlašuje, že na sebe přebírá nebezpečí změny okolností po uzavření smlouvy ve smyslu ustanovení §§ 1765 a 1766 zák. č. 89/2012 Sb., občanského zákoníku.</w:t>
      </w:r>
    </w:p>
    <w:p w:rsidR="004F729E" w:rsidRDefault="004F729E" w:rsidP="004F729E">
      <w:pPr>
        <w:jc w:val="both"/>
      </w:pPr>
    </w:p>
    <w:p w:rsidR="004F729E" w:rsidRPr="008C3CCF" w:rsidRDefault="004F729E" w:rsidP="004F729E">
      <w:pPr>
        <w:jc w:val="both"/>
        <w:rPr>
          <w:b/>
        </w:rPr>
      </w:pPr>
      <w:r w:rsidRPr="008C3CCF">
        <w:rPr>
          <w:b/>
        </w:rPr>
        <w:t>Článek 28.2</w:t>
      </w:r>
    </w:p>
    <w:p w:rsidR="004F729E" w:rsidRDefault="004F729E" w:rsidP="004F729E">
      <w:pPr>
        <w:jc w:val="both"/>
      </w:pPr>
      <w:r>
        <w:t>Odběratel a Poskytovatel se dohodli, že ustanovení §§ 1799 a 1800 zák. č. 89/2012 Sb. občanského zákoníku se nepoužijí.</w:t>
      </w:r>
    </w:p>
    <w:p w:rsidR="004F729E" w:rsidRDefault="004F729E" w:rsidP="004F729E">
      <w:pPr>
        <w:jc w:val="both"/>
      </w:pPr>
    </w:p>
    <w:p w:rsidR="004F729E" w:rsidRPr="008C3CCF" w:rsidRDefault="004F729E" w:rsidP="004F729E">
      <w:pPr>
        <w:jc w:val="both"/>
        <w:rPr>
          <w:b/>
        </w:rPr>
      </w:pPr>
      <w:r w:rsidRPr="008C3CCF">
        <w:rPr>
          <w:b/>
        </w:rPr>
        <w:t>Článek 28.3</w:t>
      </w:r>
    </w:p>
    <w:p w:rsidR="004F729E" w:rsidRDefault="004F729E" w:rsidP="004F729E">
      <w:pPr>
        <w:jc w:val="both"/>
      </w:pPr>
      <w:r>
        <w:t>Poskytovatel není oprávněn započítat jakékoli své pohledávky vzniklé či budoucí na základě a v souvislosti s touto smlouvou bez předchozího písemného souhlasu Odběratele.</w:t>
      </w:r>
    </w:p>
    <w:p w:rsidR="004F729E" w:rsidRDefault="004F729E" w:rsidP="004F729E">
      <w:pPr>
        <w:jc w:val="both"/>
      </w:pPr>
    </w:p>
    <w:p w:rsidR="004F729E" w:rsidRPr="008C3CCF" w:rsidRDefault="004F729E" w:rsidP="004F729E">
      <w:pPr>
        <w:jc w:val="both"/>
        <w:rPr>
          <w:b/>
        </w:rPr>
      </w:pPr>
      <w:r w:rsidRPr="008C3CCF">
        <w:rPr>
          <w:b/>
        </w:rPr>
        <w:t>Článek 28.4</w:t>
      </w:r>
    </w:p>
    <w:p w:rsidR="004F729E" w:rsidRDefault="004F729E" w:rsidP="004F729E">
      <w:pPr>
        <w:jc w:val="both"/>
      </w:pPr>
      <w:r>
        <w:t>Čas plnění vznikajících na základě nebo v souvislosti s touto smlouvou je určen ve prospěch Odběratele.</w:t>
      </w:r>
    </w:p>
    <w:p w:rsidR="004F729E" w:rsidRDefault="004F729E" w:rsidP="004F729E">
      <w:pPr>
        <w:jc w:val="both"/>
      </w:pPr>
    </w:p>
    <w:p w:rsidR="004F729E" w:rsidRPr="008C3CCF" w:rsidRDefault="004F729E" w:rsidP="004F729E">
      <w:pPr>
        <w:jc w:val="both"/>
        <w:rPr>
          <w:b/>
        </w:rPr>
      </w:pPr>
      <w:r w:rsidRPr="008C3CCF">
        <w:rPr>
          <w:b/>
        </w:rPr>
        <w:t>Článek 28.8</w:t>
      </w:r>
    </w:p>
    <w:p w:rsidR="004F729E" w:rsidRDefault="004F729E" w:rsidP="004F729E">
      <w:pPr>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4F729E" w:rsidRDefault="004F729E" w:rsidP="004F729E">
      <w:pPr>
        <w:jc w:val="both"/>
      </w:pPr>
    </w:p>
    <w:p w:rsidR="004F729E" w:rsidRDefault="004F729E" w:rsidP="004F729E">
      <w:pPr>
        <w:jc w:val="both"/>
      </w:pPr>
    </w:p>
    <w:p w:rsidR="004F729E" w:rsidRDefault="004F729E" w:rsidP="004F729E">
      <w:pPr>
        <w:jc w:val="both"/>
      </w:pPr>
    </w:p>
    <w:p w:rsidR="004F729E" w:rsidRPr="006F1866" w:rsidRDefault="004F729E" w:rsidP="004F729E">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4F729E" w:rsidRPr="006F1866" w:rsidRDefault="004F729E" w:rsidP="004F729E">
      <w:pPr>
        <w:pStyle w:val="Bezmezer"/>
        <w:ind w:left="4956"/>
        <w:rPr>
          <w:rFonts w:ascii="Arial" w:hAnsi="Arial" w:cs="Arial"/>
          <w:b/>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w:t>
      </w:r>
      <w:r>
        <w:rPr>
          <w:rFonts w:ascii="Arial" w:hAnsi="Arial" w:cs="Arial"/>
          <w:sz w:val="20"/>
          <w:szCs w:val="20"/>
        </w:rPr>
        <w:t>účastníka</w:t>
      </w:r>
    </w:p>
    <w:p w:rsidR="004F729E" w:rsidRDefault="004F729E" w:rsidP="004F729E">
      <w:pPr>
        <w:spacing w:line="200" w:lineRule="exact"/>
        <w:rPr>
          <w:rFonts w:ascii="Calibri" w:eastAsia="Calibri" w:hAnsi="Calibri" w:cs="Calibri"/>
          <w:b/>
          <w:bCs/>
          <w:sz w:val="18"/>
          <w:szCs w:val="18"/>
        </w:rPr>
      </w:pPr>
    </w:p>
    <w:p w:rsidR="004F729E" w:rsidRDefault="004F729E" w:rsidP="004F729E">
      <w:pPr>
        <w:spacing w:line="200" w:lineRule="exact"/>
        <w:rPr>
          <w:rFonts w:ascii="Calibri" w:eastAsia="Calibri" w:hAnsi="Calibri" w:cs="Calibri"/>
          <w:b/>
          <w:bCs/>
          <w:sz w:val="18"/>
          <w:szCs w:val="18"/>
        </w:rPr>
      </w:pPr>
    </w:p>
    <w:p w:rsidR="004F729E" w:rsidRDefault="004F729E" w:rsidP="004F729E">
      <w:pPr>
        <w:spacing w:line="200" w:lineRule="exact"/>
        <w:rPr>
          <w:sz w:val="24"/>
          <w:szCs w:val="24"/>
        </w:rPr>
      </w:pPr>
    </w:p>
    <w:p w:rsidR="004A5C26" w:rsidRDefault="004A5C26" w:rsidP="003F05ED">
      <w:pPr>
        <w:spacing w:line="200" w:lineRule="exact"/>
        <w:rPr>
          <w:sz w:val="20"/>
          <w:szCs w:val="20"/>
        </w:rPr>
      </w:pPr>
      <w:bookmarkStart w:id="1" w:name="page2"/>
      <w:bookmarkStart w:id="2" w:name="page3"/>
      <w:bookmarkStart w:id="3" w:name="page4"/>
      <w:bookmarkStart w:id="4" w:name="page5"/>
      <w:bookmarkStart w:id="5" w:name="page6"/>
      <w:bookmarkStart w:id="6" w:name="page7"/>
      <w:bookmarkStart w:id="7" w:name="page8"/>
      <w:bookmarkStart w:id="8" w:name="page9"/>
      <w:bookmarkStart w:id="9" w:name="page10"/>
      <w:bookmarkStart w:id="10" w:name="page11"/>
      <w:bookmarkEnd w:id="1"/>
      <w:bookmarkEnd w:id="2"/>
      <w:bookmarkEnd w:id="3"/>
      <w:bookmarkEnd w:id="4"/>
      <w:bookmarkEnd w:id="5"/>
      <w:bookmarkEnd w:id="6"/>
      <w:bookmarkEnd w:id="7"/>
      <w:bookmarkEnd w:id="8"/>
      <w:bookmarkEnd w:id="9"/>
      <w:bookmarkEnd w:id="10"/>
    </w:p>
    <w:sectPr w:rsidR="004A5C26">
      <w:headerReference w:type="default" r:id="rId16"/>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CDD" w:rsidRDefault="008A4CDD" w:rsidP="0037765C">
      <w:r>
        <w:separator/>
      </w:r>
    </w:p>
  </w:endnote>
  <w:endnote w:type="continuationSeparator" w:id="0">
    <w:p w:rsidR="008A4CDD" w:rsidRDefault="008A4CDD"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CDD" w:rsidRDefault="008A4CDD" w:rsidP="0037765C">
      <w:r>
        <w:separator/>
      </w:r>
    </w:p>
  </w:footnote>
  <w:footnote w:type="continuationSeparator" w:id="0">
    <w:p w:rsidR="008A4CDD" w:rsidRDefault="008A4CDD"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5ED" w:rsidRDefault="003F05ED" w:rsidP="003F05ED">
    <w:pPr>
      <w:pStyle w:val="Zhlav"/>
    </w:pPr>
  </w:p>
  <w:p w:rsidR="003F05ED" w:rsidRDefault="003F05ED" w:rsidP="003F05ED">
    <w:pPr>
      <w:pStyle w:val="Zhlav"/>
    </w:pPr>
    <w:r>
      <w:rPr>
        <w:rFonts w:ascii="Calibri" w:eastAsia="Calibri" w:hAnsi="Calibri" w:cs="Calibri"/>
        <w:b/>
        <w:bCs/>
        <w:noProof/>
        <w:sz w:val="18"/>
        <w:szCs w:val="18"/>
      </w:rPr>
      <w:drawing>
        <wp:anchor distT="0" distB="0" distL="114300" distR="114300" simplePos="0" relativeHeight="251661312" behindDoc="1" locked="0" layoutInCell="0" allowOverlap="1" wp14:anchorId="1A5A9A7B" wp14:editId="20E53129">
          <wp:simplePos x="0" y="0"/>
          <wp:positionH relativeFrom="page">
            <wp:posOffset>638175</wp:posOffset>
          </wp:positionH>
          <wp:positionV relativeFrom="page">
            <wp:posOffset>342900</wp:posOffset>
          </wp:positionV>
          <wp:extent cx="1233805" cy="377825"/>
          <wp:effectExtent l="0" t="0" r="4445" b="317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F05ED" w:rsidRPr="00384210" w:rsidRDefault="003F05ED" w:rsidP="003F05ED">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p>
  <w:p w:rsidR="003F05ED" w:rsidRDefault="003F05ED" w:rsidP="003F05ED">
    <w:pPr>
      <w:pStyle w:val="Zhlav"/>
    </w:pPr>
    <w:r w:rsidRPr="0020420C">
      <w:rPr>
        <w:b/>
        <w:bCs/>
      </w:rPr>
      <w:t>Plánované výměny elektroměrů k ověření pro oblasti Brno, Prostějov, Jihlava, Znojmo a Tábor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11" w:name="page1"/>
    <w:bookmarkStart w:id="12" w:name="_Hlk43896112"/>
    <w:bookmarkEnd w:id="11"/>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20420C" w:rsidP="00712D08">
    <w:pPr>
      <w:pStyle w:val="Zhlav"/>
      <w:tabs>
        <w:tab w:val="clear" w:pos="4536"/>
      </w:tabs>
      <w:jc w:val="center"/>
    </w:pPr>
    <w:bookmarkStart w:id="13" w:name="_Hlk39732854"/>
    <w:r w:rsidRPr="0020420C">
      <w:rPr>
        <w:b/>
        <w:bCs/>
      </w:rPr>
      <w:t>Plánované výměny elektroměrů k ověření pro oblasti Brno, Prostějov, Jihlava, Znojmo a Tábor</w:t>
    </w:r>
    <w:bookmarkEnd w:id="13"/>
    <w:bookmarkEnd w:id="12"/>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E619F"/>
    <w:rsid w:val="001A011B"/>
    <w:rsid w:val="0020420C"/>
    <w:rsid w:val="0020551A"/>
    <w:rsid w:val="00363419"/>
    <w:rsid w:val="0037765C"/>
    <w:rsid w:val="00384210"/>
    <w:rsid w:val="003A675E"/>
    <w:rsid w:val="003C6881"/>
    <w:rsid w:val="003F05ED"/>
    <w:rsid w:val="00414A6B"/>
    <w:rsid w:val="004873DA"/>
    <w:rsid w:val="004A5C26"/>
    <w:rsid w:val="004F729E"/>
    <w:rsid w:val="00511599"/>
    <w:rsid w:val="006327BD"/>
    <w:rsid w:val="00712D08"/>
    <w:rsid w:val="00855312"/>
    <w:rsid w:val="008A4CDD"/>
    <w:rsid w:val="00990D23"/>
    <w:rsid w:val="00A80115"/>
    <w:rsid w:val="00B3675A"/>
    <w:rsid w:val="00B80A7B"/>
    <w:rsid w:val="00C16AE9"/>
    <w:rsid w:val="00CE55E8"/>
    <w:rsid w:val="00CE69D5"/>
    <w:rsid w:val="00CF24DB"/>
    <w:rsid w:val="00D84C40"/>
    <w:rsid w:val="00DD2061"/>
    <w:rsid w:val="00EB05EE"/>
    <w:rsid w:val="00EB133C"/>
    <w:rsid w:val="00EE67A9"/>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DEB81"/>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F05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uiPriority w:val="99"/>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 w:type="paragraph" w:styleId="Textbubliny">
    <w:name w:val="Balloon Text"/>
    <w:basedOn w:val="Normln"/>
    <w:link w:val="TextbublinyChar"/>
    <w:uiPriority w:val="99"/>
    <w:semiHidden/>
    <w:unhideWhenUsed/>
    <w:rsid w:val="004F72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E"/>
    <w:rPr>
      <w:rFonts w:ascii="Segoe UI" w:hAnsi="Segoe UI" w:cs="Segoe UI"/>
      <w:sz w:val="18"/>
      <w:szCs w:val="18"/>
    </w:rPr>
  </w:style>
  <w:style w:type="paragraph" w:styleId="Bezmezer">
    <w:name w:val="No Spacing"/>
    <w:link w:val="BezmezerChar"/>
    <w:uiPriority w:val="1"/>
    <w:qFormat/>
    <w:rsid w:val="004F729E"/>
    <w:rPr>
      <w:rFonts w:ascii="Calibri" w:eastAsia="Calibri" w:hAnsi="Calibri"/>
      <w:lang w:eastAsia="en-US"/>
    </w:rPr>
  </w:style>
  <w:style w:type="character" w:customStyle="1" w:styleId="BezmezerChar">
    <w:name w:val="Bez mezer Char"/>
    <w:link w:val="Bezmezer"/>
    <w:uiPriority w:val="1"/>
    <w:locked/>
    <w:rsid w:val="004F729E"/>
    <w:rPr>
      <w:rFonts w:ascii="Calibri" w:eastAsia="Calibri" w:hAnsi="Calibri"/>
      <w:lang w:eastAsia="en-US"/>
    </w:rPr>
  </w:style>
  <w:style w:type="paragraph" w:customStyle="1" w:styleId="Default">
    <w:name w:val="Default"/>
    <w:rsid w:val="004F729E"/>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basedOn w:val="Normln"/>
    <w:uiPriority w:val="34"/>
    <w:qFormat/>
    <w:rsid w:val="004F729E"/>
    <w:pPr>
      <w:widowControl w:val="0"/>
      <w:autoSpaceDE w:val="0"/>
      <w:autoSpaceDN w:val="0"/>
      <w:adjustRightInd w:val="0"/>
      <w:spacing w:before="87" w:line="230" w:lineRule="exact"/>
      <w:ind w:left="720" w:right="510"/>
      <w:contextualSpacing/>
    </w:pPr>
    <w:rPr>
      <w:rFonts w:ascii="Arial" w:eastAsia="Times New Roman" w:hAnsi="Arial" w:cs="Arial"/>
      <w:color w:val="000000"/>
      <w:spacing w:val="-6"/>
      <w:sz w:val="20"/>
      <w:szCs w:val="20"/>
    </w:rPr>
  </w:style>
  <w:style w:type="character" w:styleId="Hypertextovodkaz">
    <w:name w:val="Hyperlink"/>
    <w:basedOn w:val="Standardnpsmoodstavce"/>
    <w:uiPriority w:val="99"/>
    <w:unhideWhenUsed/>
    <w:rsid w:val="004F7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distribuce@eon.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10046</Words>
  <Characters>59276</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3</cp:revision>
  <dcterms:created xsi:type="dcterms:W3CDTF">2020-06-24T11:03:00Z</dcterms:created>
  <dcterms:modified xsi:type="dcterms:W3CDTF">2020-06-26T07:46:00Z</dcterms:modified>
</cp:coreProperties>
</file>